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89D5" w14:textId="21F07BE2" w:rsidR="00460E53" w:rsidRPr="00F64864" w:rsidRDefault="003C5582">
      <w:pPr>
        <w:rPr>
          <w:b/>
          <w:sz w:val="28"/>
        </w:rPr>
      </w:pPr>
      <w:r>
        <w:rPr>
          <w:b/>
          <w:sz w:val="28"/>
        </w:rPr>
        <w:t>CCSI &amp; Namati – Review of e</w:t>
      </w:r>
      <w:r w:rsidR="00F64864" w:rsidRPr="00F64864">
        <w:rPr>
          <w:b/>
          <w:sz w:val="28"/>
        </w:rPr>
        <w:t xml:space="preserve">xisting guides and other efforts </w:t>
      </w:r>
      <w:r>
        <w:rPr>
          <w:b/>
          <w:sz w:val="28"/>
        </w:rPr>
        <w:t>related to Land Contracts</w:t>
      </w:r>
      <w:bookmarkStart w:id="0" w:name="_GoBack"/>
      <w:bookmarkEnd w:id="0"/>
    </w:p>
    <w:p w14:paraId="66AB5A20" w14:textId="77777777" w:rsidR="00447C2F" w:rsidRDefault="00447C2F"/>
    <w:p w14:paraId="03A45C4A" w14:textId="7D109AA0" w:rsidR="00414B44" w:rsidRDefault="00414B44">
      <w:r>
        <w:rPr>
          <w:b/>
          <w:bCs/>
        </w:rPr>
        <w:t>1.</w:t>
      </w:r>
      <w:r w:rsidRPr="00627BC3">
        <w:rPr>
          <w:b/>
          <w:bCs/>
        </w:rPr>
        <w:t xml:space="preserve"> How to negotiate better contracts between communities and </w:t>
      </w:r>
      <w:r>
        <w:rPr>
          <w:b/>
          <w:bCs/>
        </w:rPr>
        <w:t>investors</w:t>
      </w:r>
      <w:r w:rsidRPr="00627BC3">
        <w:t>. </w:t>
      </w:r>
    </w:p>
    <w:p w14:paraId="56AD6FBD" w14:textId="77777777" w:rsidR="00447C2F" w:rsidRDefault="00447C2F"/>
    <w:tbl>
      <w:tblPr>
        <w:tblStyle w:val="TableGrid"/>
        <w:tblW w:w="14996" w:type="dxa"/>
        <w:tblInd w:w="-601" w:type="dxa"/>
        <w:tblLayout w:type="fixed"/>
        <w:tblLook w:val="04A0" w:firstRow="1" w:lastRow="0" w:firstColumn="1" w:lastColumn="0" w:noHBand="0" w:noVBand="1"/>
      </w:tblPr>
      <w:tblGrid>
        <w:gridCol w:w="3656"/>
        <w:gridCol w:w="11340"/>
      </w:tblGrid>
      <w:tr w:rsidR="00E27407" w:rsidRPr="00447C2F" w14:paraId="57FA2B67" w14:textId="77777777" w:rsidTr="00E27407">
        <w:trPr>
          <w:cantSplit/>
          <w:trHeight w:val="377"/>
          <w:tblHeader/>
        </w:trPr>
        <w:tc>
          <w:tcPr>
            <w:tcW w:w="3656" w:type="dxa"/>
            <w:tcBorders>
              <w:bottom w:val="single" w:sz="4" w:space="0" w:color="auto"/>
            </w:tcBorders>
          </w:tcPr>
          <w:p w14:paraId="56A49800" w14:textId="0015D9AC" w:rsidR="00E27407" w:rsidRPr="00447C2F" w:rsidRDefault="00E27407" w:rsidP="00B5763D">
            <w:pPr>
              <w:spacing w:before="60" w:after="60"/>
              <w:rPr>
                <w:b/>
                <w:sz w:val="20"/>
              </w:rPr>
            </w:pPr>
            <w:r>
              <w:rPr>
                <w:b/>
                <w:sz w:val="20"/>
              </w:rPr>
              <w:t>Product</w:t>
            </w:r>
          </w:p>
        </w:tc>
        <w:tc>
          <w:tcPr>
            <w:tcW w:w="11340" w:type="dxa"/>
            <w:tcBorders>
              <w:bottom w:val="single" w:sz="4" w:space="0" w:color="auto"/>
            </w:tcBorders>
          </w:tcPr>
          <w:p w14:paraId="036818E3" w14:textId="77777777" w:rsidR="00E27407" w:rsidRPr="00447C2F" w:rsidRDefault="00E27407" w:rsidP="00B5763D">
            <w:pPr>
              <w:spacing w:before="60" w:after="60"/>
              <w:rPr>
                <w:b/>
                <w:sz w:val="20"/>
              </w:rPr>
            </w:pPr>
            <w:r w:rsidRPr="00447C2F">
              <w:rPr>
                <w:b/>
                <w:sz w:val="20"/>
              </w:rPr>
              <w:t>Relevant content</w:t>
            </w:r>
          </w:p>
        </w:tc>
      </w:tr>
      <w:tr w:rsidR="00E27407" w:rsidRPr="00447C2F" w14:paraId="33A486A8" w14:textId="77777777" w:rsidTr="00E27407">
        <w:trPr>
          <w:cantSplit/>
          <w:trHeight w:val="1250"/>
        </w:trPr>
        <w:tc>
          <w:tcPr>
            <w:tcW w:w="3656" w:type="dxa"/>
          </w:tcPr>
          <w:p w14:paraId="1066C5A3" w14:textId="386DCA0D" w:rsidR="00E27407" w:rsidRPr="00F87E61" w:rsidRDefault="00E27407" w:rsidP="00B5763D">
            <w:pPr>
              <w:spacing w:before="60" w:after="60"/>
              <w:rPr>
                <w:sz w:val="20"/>
              </w:rPr>
            </w:pPr>
            <w:hyperlink r:id="rId8" w:history="1">
              <w:r w:rsidRPr="00A65FA0">
                <w:rPr>
                  <w:rStyle w:val="Hyperlink"/>
                  <w:sz w:val="20"/>
                </w:rPr>
                <w:t>IBA Community Toolkit</w:t>
              </w:r>
            </w:hyperlink>
            <w:r>
              <w:rPr>
                <w:sz w:val="20"/>
              </w:rPr>
              <w:t xml:space="preserve"> (Ginger Gibson and </w:t>
            </w:r>
            <w:r w:rsidRPr="00C83B12">
              <w:rPr>
                <w:sz w:val="20"/>
              </w:rPr>
              <w:t>Ciaran O’Faircheallaigh</w:t>
            </w:r>
            <w:r>
              <w:rPr>
                <w:sz w:val="20"/>
              </w:rPr>
              <w:t>)</w:t>
            </w:r>
          </w:p>
        </w:tc>
        <w:tc>
          <w:tcPr>
            <w:tcW w:w="11340" w:type="dxa"/>
          </w:tcPr>
          <w:p w14:paraId="33B00107" w14:textId="77777777" w:rsidR="00E27407" w:rsidRDefault="00E27407" w:rsidP="00B5763D">
            <w:pPr>
              <w:pStyle w:val="ListParagraph"/>
              <w:numPr>
                <w:ilvl w:val="0"/>
                <w:numId w:val="2"/>
              </w:numPr>
              <w:spacing w:before="60" w:after="60"/>
              <w:rPr>
                <w:sz w:val="20"/>
              </w:rPr>
            </w:pPr>
            <w:r w:rsidRPr="00313AD5">
              <w:rPr>
                <w:sz w:val="20"/>
              </w:rPr>
              <w:t>11 pages of guidance on negotiation technique and strategy.</w:t>
            </w:r>
          </w:p>
          <w:p w14:paraId="02244A34" w14:textId="3255DBFA" w:rsidR="00E27407" w:rsidRDefault="00E27407" w:rsidP="00B5763D">
            <w:pPr>
              <w:pStyle w:val="ListParagraph"/>
              <w:numPr>
                <w:ilvl w:val="0"/>
                <w:numId w:val="2"/>
              </w:numPr>
              <w:spacing w:before="60" w:after="60"/>
              <w:rPr>
                <w:sz w:val="20"/>
              </w:rPr>
            </w:pPr>
            <w:r>
              <w:rPr>
                <w:sz w:val="20"/>
              </w:rPr>
              <w:t>50 pages on substance of CDA.</w:t>
            </w:r>
          </w:p>
          <w:p w14:paraId="1EC4CF8B" w14:textId="77777777" w:rsidR="00E27407" w:rsidRDefault="00E27407" w:rsidP="00B5763D">
            <w:pPr>
              <w:pStyle w:val="ListParagraph"/>
              <w:numPr>
                <w:ilvl w:val="0"/>
                <w:numId w:val="2"/>
              </w:numPr>
              <w:spacing w:before="60" w:after="60"/>
              <w:rPr>
                <w:sz w:val="20"/>
              </w:rPr>
            </w:pPr>
            <w:r w:rsidRPr="00313AD5">
              <w:rPr>
                <w:sz w:val="20"/>
              </w:rPr>
              <w:t>Focuses on Extractives projects and aboriginal communities in Canada.</w:t>
            </w:r>
          </w:p>
          <w:p w14:paraId="38C45F99" w14:textId="7F5AB7BF" w:rsidR="00E27407" w:rsidRPr="00DD2727" w:rsidRDefault="00E27407" w:rsidP="00B5763D">
            <w:pPr>
              <w:pStyle w:val="ListParagraph"/>
              <w:numPr>
                <w:ilvl w:val="0"/>
                <w:numId w:val="2"/>
              </w:numPr>
              <w:spacing w:before="60" w:after="60"/>
              <w:rPr>
                <w:sz w:val="20"/>
              </w:rPr>
            </w:pPr>
            <w:r w:rsidRPr="00DD2727">
              <w:rPr>
                <w:sz w:val="20"/>
              </w:rPr>
              <w:t>Target audience: “community negotiators, members of community negotiating teams, and consultants working with Aboriginal communities and organizations.”</w:t>
            </w:r>
          </w:p>
        </w:tc>
      </w:tr>
      <w:tr w:rsidR="00E27407" w:rsidRPr="00447C2F" w14:paraId="7B6C87AE" w14:textId="77777777" w:rsidTr="00E27407">
        <w:trPr>
          <w:cantSplit/>
        </w:trPr>
        <w:tc>
          <w:tcPr>
            <w:tcW w:w="3656" w:type="dxa"/>
          </w:tcPr>
          <w:p w14:paraId="69B9819C" w14:textId="77777777" w:rsidR="00E27407" w:rsidRDefault="00E27407" w:rsidP="0010491F">
            <w:pPr>
              <w:spacing w:before="60" w:after="60"/>
              <w:rPr>
                <w:sz w:val="20"/>
                <w:szCs w:val="20"/>
              </w:rPr>
            </w:pPr>
            <w:r w:rsidRPr="0010491F">
              <w:rPr>
                <w:sz w:val="20"/>
                <w:szCs w:val="20"/>
              </w:rPr>
              <w:t>Mining &amp; Communities: Supporting human rights-based development in the context of industrial mining in Guinea (</w:t>
            </w:r>
            <w:hyperlink r:id="rId9" w:history="1">
              <w:r w:rsidRPr="0010491F">
                <w:rPr>
                  <w:rStyle w:val="Hyperlink"/>
                  <w:sz w:val="20"/>
                  <w:szCs w:val="20"/>
                </w:rPr>
                <w:t>French</w:t>
              </w:r>
            </w:hyperlink>
            <w:r w:rsidRPr="0010491F">
              <w:rPr>
                <w:sz w:val="20"/>
                <w:szCs w:val="20"/>
              </w:rPr>
              <w:t xml:space="preserve"> / </w:t>
            </w:r>
            <w:hyperlink r:id="rId10" w:history="1">
              <w:r w:rsidRPr="0010491F">
                <w:rPr>
                  <w:rStyle w:val="Hyperlink"/>
                  <w:sz w:val="20"/>
                  <w:szCs w:val="20"/>
                </w:rPr>
                <w:t>abridged English</w:t>
              </w:r>
            </w:hyperlink>
            <w:r w:rsidRPr="0010491F">
              <w:rPr>
                <w:sz w:val="20"/>
                <w:szCs w:val="20"/>
              </w:rPr>
              <w:t xml:space="preserve">) </w:t>
            </w:r>
          </w:p>
          <w:p w14:paraId="4B1CE41E" w14:textId="0CAE2D52" w:rsidR="00E27407" w:rsidRPr="0010491F" w:rsidRDefault="00E27407" w:rsidP="0010491F">
            <w:pPr>
              <w:spacing w:before="60" w:after="60"/>
              <w:rPr>
                <w:sz w:val="20"/>
                <w:szCs w:val="20"/>
              </w:rPr>
            </w:pPr>
            <w:r w:rsidRPr="0010491F">
              <w:rPr>
                <w:sz w:val="20"/>
                <w:szCs w:val="20"/>
              </w:rPr>
              <w:t>(ABA Rule of Law Initiative)</w:t>
            </w:r>
          </w:p>
        </w:tc>
        <w:tc>
          <w:tcPr>
            <w:tcW w:w="11340" w:type="dxa"/>
          </w:tcPr>
          <w:p w14:paraId="7E63DB78" w14:textId="77777777" w:rsidR="00E27407" w:rsidRPr="0010491F" w:rsidRDefault="00E27407" w:rsidP="0010491F">
            <w:pPr>
              <w:spacing w:before="60" w:after="60"/>
              <w:rPr>
                <w:sz w:val="20"/>
              </w:rPr>
            </w:pPr>
            <w:r w:rsidRPr="0010491F">
              <w:rPr>
                <w:sz w:val="20"/>
              </w:rPr>
              <w:t>Written in a question-and-answer format with dialogues among local people, the combined reference manual and interactive curriculum addresses:</w:t>
            </w:r>
          </w:p>
          <w:p w14:paraId="57E787F3" w14:textId="6E733CCF" w:rsidR="00E27407" w:rsidRPr="0010491F" w:rsidRDefault="00E27407" w:rsidP="0010491F">
            <w:pPr>
              <w:numPr>
                <w:ilvl w:val="0"/>
                <w:numId w:val="12"/>
              </w:numPr>
              <w:tabs>
                <w:tab w:val="num" w:pos="720"/>
              </w:tabs>
              <w:spacing w:before="60" w:after="60"/>
              <w:rPr>
                <w:sz w:val="20"/>
              </w:rPr>
            </w:pPr>
            <w:r w:rsidRPr="0010491F">
              <w:rPr>
                <w:sz w:val="20"/>
              </w:rPr>
              <w:t>In Module 1, the mine life cycle, the changes it brings, how to participate in an impact assessment and monitor the</w:t>
            </w:r>
            <w:r>
              <w:rPr>
                <w:sz w:val="20"/>
              </w:rPr>
              <w:t xml:space="preserve"> </w:t>
            </w:r>
            <w:r w:rsidRPr="0010491F">
              <w:rPr>
                <w:sz w:val="20"/>
              </w:rPr>
              <w:t>management plan;</w:t>
            </w:r>
          </w:p>
          <w:p w14:paraId="68574AC5" w14:textId="77777777" w:rsidR="00E27407" w:rsidRPr="0010491F" w:rsidRDefault="00E27407" w:rsidP="0010491F">
            <w:pPr>
              <w:numPr>
                <w:ilvl w:val="0"/>
                <w:numId w:val="12"/>
              </w:numPr>
              <w:tabs>
                <w:tab w:val="num" w:pos="720"/>
              </w:tabs>
              <w:spacing w:before="60" w:after="60"/>
              <w:rPr>
                <w:sz w:val="20"/>
              </w:rPr>
            </w:pPr>
            <w:r w:rsidRPr="0010491F">
              <w:rPr>
                <w:sz w:val="20"/>
              </w:rPr>
              <w:t>In Module 2, the rule of law, human rights and the roles and responsibilities of each actor;</w:t>
            </w:r>
          </w:p>
          <w:p w14:paraId="77DC4B11" w14:textId="77777777" w:rsidR="00E27407" w:rsidRPr="0010491F" w:rsidRDefault="00E27407" w:rsidP="0010491F">
            <w:pPr>
              <w:numPr>
                <w:ilvl w:val="0"/>
                <w:numId w:val="12"/>
              </w:numPr>
              <w:tabs>
                <w:tab w:val="num" w:pos="720"/>
              </w:tabs>
              <w:spacing w:before="60" w:after="60"/>
              <w:rPr>
                <w:sz w:val="20"/>
              </w:rPr>
            </w:pPr>
            <w:r w:rsidRPr="0010491F">
              <w:rPr>
                <w:sz w:val="20"/>
              </w:rPr>
              <w:t>In Module 3, conflict and violence prevention and tools supporting improved communication, negotiation and community cohesion, including consultation or community protocols and participatory land use planning;</w:t>
            </w:r>
          </w:p>
          <w:p w14:paraId="5938D3C5" w14:textId="77777777" w:rsidR="00E27407" w:rsidRPr="0010491F" w:rsidRDefault="00E27407" w:rsidP="0010491F">
            <w:pPr>
              <w:numPr>
                <w:ilvl w:val="0"/>
                <w:numId w:val="12"/>
              </w:numPr>
              <w:tabs>
                <w:tab w:val="num" w:pos="720"/>
              </w:tabs>
              <w:spacing w:before="60" w:after="60"/>
              <w:rPr>
                <w:sz w:val="20"/>
              </w:rPr>
            </w:pPr>
            <w:r w:rsidRPr="0010491F">
              <w:rPr>
                <w:sz w:val="20"/>
              </w:rPr>
              <w:t>In Module 4, the possible benefits of mining, and tools to capture mining’s benefits, including local content strategies, community development agreements, and local financial management;</w:t>
            </w:r>
          </w:p>
          <w:p w14:paraId="74210B7F" w14:textId="77777777" w:rsidR="00E27407" w:rsidRPr="0010491F" w:rsidRDefault="00E27407" w:rsidP="0010491F">
            <w:pPr>
              <w:numPr>
                <w:ilvl w:val="0"/>
                <w:numId w:val="12"/>
              </w:numPr>
              <w:tabs>
                <w:tab w:val="num" w:pos="720"/>
              </w:tabs>
              <w:spacing w:before="60" w:after="60"/>
              <w:rPr>
                <w:sz w:val="20"/>
              </w:rPr>
            </w:pPr>
            <w:r w:rsidRPr="0010491F">
              <w:rPr>
                <w:sz w:val="20"/>
              </w:rPr>
              <w:t>In Module 5, ways to address and minimize impacts on land (compensation mechanisms, and resettlement), environment and cultural sites;</w:t>
            </w:r>
          </w:p>
          <w:p w14:paraId="2E68397A" w14:textId="6FF66FD7" w:rsidR="00E27407" w:rsidRDefault="00E27407" w:rsidP="00E27407">
            <w:pPr>
              <w:numPr>
                <w:ilvl w:val="0"/>
                <w:numId w:val="12"/>
              </w:numPr>
              <w:tabs>
                <w:tab w:val="num" w:pos="720"/>
              </w:tabs>
              <w:spacing w:before="60" w:after="60"/>
              <w:rPr>
                <w:sz w:val="20"/>
              </w:rPr>
            </w:pPr>
            <w:r w:rsidRPr="0010491F">
              <w:rPr>
                <w:sz w:val="20"/>
              </w:rPr>
              <w:t>In Module 6, what people can do locally to voice their concerns; how to document and monitor (including baseline studies, community-controlled impact assessments, joint participatory monitoring) and options for access to remedy locally, nationally, regionally and internationally.</w:t>
            </w:r>
          </w:p>
        </w:tc>
      </w:tr>
      <w:tr w:rsidR="00E27407" w:rsidRPr="00447C2F" w14:paraId="7B1E96B3" w14:textId="77777777" w:rsidTr="00E27407">
        <w:trPr>
          <w:cantSplit/>
        </w:trPr>
        <w:tc>
          <w:tcPr>
            <w:tcW w:w="3656" w:type="dxa"/>
          </w:tcPr>
          <w:p w14:paraId="49CEB8D7" w14:textId="4154BA14" w:rsidR="00E27407" w:rsidRPr="004E3478" w:rsidRDefault="00E27407" w:rsidP="004E3478">
            <w:pPr>
              <w:spacing w:before="60" w:after="60"/>
              <w:rPr>
                <w:sz w:val="20"/>
              </w:rPr>
            </w:pPr>
            <w:hyperlink r:id="rId11" w:history="1">
              <w:r w:rsidRPr="00B05A74">
                <w:rPr>
                  <w:rStyle w:val="Hyperlink"/>
                  <w:sz w:val="20"/>
                </w:rPr>
                <w:t>Community Land Protection: Facilitator’s Guide, “Preparing Communities for Negotiations with Investors”</w:t>
              </w:r>
            </w:hyperlink>
            <w:r>
              <w:rPr>
                <w:sz w:val="20"/>
              </w:rPr>
              <w:t xml:space="preserve"> (Namati)</w:t>
            </w:r>
          </w:p>
        </w:tc>
        <w:tc>
          <w:tcPr>
            <w:tcW w:w="11340" w:type="dxa"/>
          </w:tcPr>
          <w:p w14:paraId="1A95F9D5" w14:textId="32BE4263" w:rsidR="00E27407" w:rsidRPr="00447C2F" w:rsidRDefault="00E27407" w:rsidP="00B5763D">
            <w:pPr>
              <w:spacing w:before="60" w:after="60"/>
              <w:rPr>
                <w:sz w:val="20"/>
              </w:rPr>
            </w:pPr>
          </w:p>
        </w:tc>
      </w:tr>
      <w:tr w:rsidR="00E27407" w:rsidRPr="00447C2F" w14:paraId="6274A19F" w14:textId="77777777" w:rsidTr="00E27407">
        <w:trPr>
          <w:cantSplit/>
        </w:trPr>
        <w:tc>
          <w:tcPr>
            <w:tcW w:w="3656" w:type="dxa"/>
          </w:tcPr>
          <w:p w14:paraId="0F220755" w14:textId="22E4D4F2" w:rsidR="00E27407" w:rsidRPr="003E4F97" w:rsidRDefault="00E27407" w:rsidP="00414B44">
            <w:pPr>
              <w:spacing w:before="60" w:after="60"/>
              <w:rPr>
                <w:sz w:val="20"/>
              </w:rPr>
            </w:pPr>
            <w:hyperlink r:id="rId12" w:history="1">
              <w:r w:rsidRPr="003E4F97">
                <w:rPr>
                  <w:rStyle w:val="Hyperlink"/>
                  <w:sz w:val="20"/>
                </w:rPr>
                <w:t>Community Guide</w:t>
              </w:r>
              <w:r>
                <w:rPr>
                  <w:rStyle w:val="Hyperlink"/>
                  <w:sz w:val="20"/>
                </w:rPr>
                <w:t>:</w:t>
              </w:r>
              <w:r w:rsidRPr="003E4F97">
                <w:rPr>
                  <w:rStyle w:val="Hyperlink"/>
                  <w:sz w:val="20"/>
                </w:rPr>
                <w:t xml:space="preserve"> Getting a Fair Deal from Companies and Investors</w:t>
              </w:r>
            </w:hyperlink>
            <w:r w:rsidRPr="003E4F97">
              <w:rPr>
                <w:sz w:val="20"/>
              </w:rPr>
              <w:t xml:space="preserve"> The Sustainable Development Institute (SDI) &amp; Namati</w:t>
            </w:r>
          </w:p>
          <w:p w14:paraId="5F884850" w14:textId="2EC5A37B" w:rsidR="00E27407" w:rsidRPr="003E4F97" w:rsidRDefault="00E27407" w:rsidP="00B5763D">
            <w:pPr>
              <w:spacing w:before="60" w:after="60"/>
              <w:rPr>
                <w:b/>
                <w:i/>
                <w:sz w:val="20"/>
              </w:rPr>
            </w:pPr>
          </w:p>
        </w:tc>
        <w:tc>
          <w:tcPr>
            <w:tcW w:w="11340" w:type="dxa"/>
          </w:tcPr>
          <w:p w14:paraId="27800C4A" w14:textId="77777777" w:rsidR="00E27407" w:rsidRDefault="00E27407" w:rsidP="00414B44">
            <w:pPr>
              <w:spacing w:before="60" w:after="60"/>
              <w:rPr>
                <w:rFonts w:ascii="Times" w:eastAsia="Times New Roman" w:hAnsi="Times"/>
                <w:sz w:val="20"/>
                <w:szCs w:val="20"/>
              </w:rPr>
            </w:pPr>
            <w:r>
              <w:rPr>
                <w:sz w:val="20"/>
              </w:rPr>
              <w:t xml:space="preserve">Community focused guide that covers: </w:t>
            </w:r>
          </w:p>
          <w:p w14:paraId="76644680" w14:textId="77777777" w:rsidR="00E27407" w:rsidRDefault="00E27407" w:rsidP="00414B44">
            <w:pPr>
              <w:spacing w:before="60" w:after="60"/>
              <w:rPr>
                <w:rFonts w:ascii="Times" w:eastAsia="Times New Roman" w:hAnsi="Times"/>
                <w:sz w:val="20"/>
                <w:szCs w:val="20"/>
              </w:rPr>
            </w:pPr>
            <w:r w:rsidRPr="003E4F97">
              <w:rPr>
                <w:rFonts w:ascii="Times" w:eastAsia="Times New Roman" w:hAnsi="Times"/>
                <w:sz w:val="20"/>
                <w:szCs w:val="20"/>
              </w:rPr>
              <w:t xml:space="preserve">1. Important ideas to remember </w:t>
            </w:r>
          </w:p>
          <w:p w14:paraId="7FF1919C" w14:textId="77777777" w:rsidR="00E27407" w:rsidRDefault="00E27407" w:rsidP="00414B44">
            <w:pPr>
              <w:spacing w:before="60" w:after="60"/>
              <w:rPr>
                <w:rFonts w:ascii="Times" w:eastAsia="Times New Roman" w:hAnsi="Times"/>
                <w:sz w:val="20"/>
                <w:szCs w:val="20"/>
              </w:rPr>
            </w:pPr>
            <w:r w:rsidRPr="003E4F97">
              <w:rPr>
                <w:rFonts w:ascii="Times" w:eastAsia="Times New Roman" w:hAnsi="Times"/>
                <w:sz w:val="20"/>
                <w:szCs w:val="20"/>
              </w:rPr>
              <w:t xml:space="preserve">2. Your rights to the land and resources </w:t>
            </w:r>
          </w:p>
          <w:p w14:paraId="716C0A46" w14:textId="77777777" w:rsidR="00E27407" w:rsidRDefault="00E27407" w:rsidP="00414B44">
            <w:pPr>
              <w:spacing w:before="60" w:after="60"/>
              <w:rPr>
                <w:rFonts w:ascii="Times" w:eastAsia="Times New Roman" w:hAnsi="Times"/>
                <w:sz w:val="20"/>
                <w:szCs w:val="20"/>
              </w:rPr>
            </w:pPr>
            <w:r w:rsidRPr="003E4F97">
              <w:rPr>
                <w:rFonts w:ascii="Times" w:eastAsia="Times New Roman" w:hAnsi="Times"/>
                <w:sz w:val="20"/>
                <w:szCs w:val="20"/>
              </w:rPr>
              <w:t xml:space="preserve">3. What your community can do before a company or investor arrives </w:t>
            </w:r>
          </w:p>
          <w:p w14:paraId="58D32254" w14:textId="77777777" w:rsidR="00E27407" w:rsidRDefault="00E27407" w:rsidP="00414B44">
            <w:pPr>
              <w:spacing w:before="60" w:after="60"/>
              <w:rPr>
                <w:rFonts w:ascii="Times" w:eastAsia="Times New Roman" w:hAnsi="Times"/>
                <w:sz w:val="20"/>
                <w:szCs w:val="20"/>
              </w:rPr>
            </w:pPr>
            <w:r w:rsidRPr="003E4F97">
              <w:rPr>
                <w:rFonts w:ascii="Times" w:eastAsia="Times New Roman" w:hAnsi="Times"/>
                <w:sz w:val="20"/>
                <w:szCs w:val="20"/>
              </w:rPr>
              <w:t xml:space="preserve">4. Steps your community can take when a company or investor comes </w:t>
            </w:r>
          </w:p>
          <w:p w14:paraId="36D8D6F2" w14:textId="77777777" w:rsidR="00E27407" w:rsidRDefault="00E27407" w:rsidP="00414B44">
            <w:pPr>
              <w:spacing w:before="60" w:after="60"/>
              <w:rPr>
                <w:rFonts w:ascii="Times" w:eastAsia="Times New Roman" w:hAnsi="Times"/>
                <w:sz w:val="20"/>
                <w:szCs w:val="20"/>
              </w:rPr>
            </w:pPr>
            <w:r w:rsidRPr="003E4F97">
              <w:rPr>
                <w:rFonts w:ascii="Times" w:eastAsia="Times New Roman" w:hAnsi="Times"/>
                <w:sz w:val="20"/>
                <w:szCs w:val="20"/>
              </w:rPr>
              <w:t>5. Benefit</w:t>
            </w:r>
            <w:r>
              <w:rPr>
                <w:rFonts w:ascii="Times" w:eastAsia="Times New Roman" w:hAnsi="Times"/>
                <w:sz w:val="20"/>
                <w:szCs w:val="20"/>
              </w:rPr>
              <w:t xml:space="preserve">s from companies and investors </w:t>
            </w:r>
            <w:r w:rsidRPr="003E4F97">
              <w:rPr>
                <w:rFonts w:ascii="Times" w:eastAsia="Times New Roman" w:hAnsi="Times"/>
                <w:sz w:val="20"/>
                <w:szCs w:val="20"/>
              </w:rPr>
              <w:t xml:space="preserve"> </w:t>
            </w:r>
          </w:p>
          <w:p w14:paraId="37BAC101" w14:textId="77777777" w:rsidR="00E27407" w:rsidRDefault="00E27407" w:rsidP="00414B44">
            <w:pPr>
              <w:spacing w:before="60" w:after="60"/>
              <w:rPr>
                <w:rFonts w:ascii="Times" w:eastAsia="Times New Roman" w:hAnsi="Times"/>
                <w:sz w:val="20"/>
                <w:szCs w:val="20"/>
              </w:rPr>
            </w:pPr>
            <w:r w:rsidRPr="003E4F97">
              <w:rPr>
                <w:rFonts w:ascii="Times" w:eastAsia="Times New Roman" w:hAnsi="Times"/>
                <w:sz w:val="20"/>
                <w:szCs w:val="20"/>
              </w:rPr>
              <w:t xml:space="preserve">6. What to remember when negotiating with companies or investors </w:t>
            </w:r>
          </w:p>
          <w:p w14:paraId="128B1AF5" w14:textId="77777777" w:rsidR="00E27407" w:rsidRDefault="00E27407" w:rsidP="00414B44">
            <w:pPr>
              <w:spacing w:before="60" w:after="60"/>
              <w:rPr>
                <w:rFonts w:ascii="Times" w:eastAsia="Times New Roman" w:hAnsi="Times"/>
                <w:sz w:val="20"/>
                <w:szCs w:val="20"/>
              </w:rPr>
            </w:pPr>
            <w:r w:rsidRPr="003E4F97">
              <w:rPr>
                <w:rFonts w:ascii="Times" w:eastAsia="Times New Roman" w:hAnsi="Times"/>
                <w:sz w:val="20"/>
                <w:szCs w:val="20"/>
              </w:rPr>
              <w:t xml:space="preserve">7. If your community has already signed an agreement </w:t>
            </w:r>
          </w:p>
          <w:p w14:paraId="0A4B0580" w14:textId="7D95E970" w:rsidR="00E27407" w:rsidRPr="00447C2F" w:rsidRDefault="00E27407" w:rsidP="00B5763D">
            <w:pPr>
              <w:spacing w:before="60" w:after="60"/>
              <w:rPr>
                <w:sz w:val="20"/>
              </w:rPr>
            </w:pPr>
            <w:r w:rsidRPr="003E4F97">
              <w:rPr>
                <w:rFonts w:ascii="Times" w:eastAsia="Times New Roman" w:hAnsi="Times"/>
                <w:sz w:val="20"/>
                <w:szCs w:val="20"/>
              </w:rPr>
              <w:t xml:space="preserve">8. Free prior and informed consent: 10 Do’s for communities entering into negotiations with companies </w:t>
            </w:r>
          </w:p>
        </w:tc>
      </w:tr>
      <w:tr w:rsidR="00E27407" w:rsidRPr="00447C2F" w14:paraId="70B2FAAC" w14:textId="77777777" w:rsidTr="00E27407">
        <w:trPr>
          <w:cantSplit/>
        </w:trPr>
        <w:tc>
          <w:tcPr>
            <w:tcW w:w="3656" w:type="dxa"/>
          </w:tcPr>
          <w:p w14:paraId="1650B508" w14:textId="77777777" w:rsidR="00E27407" w:rsidRDefault="00E27407" w:rsidP="00414B44">
            <w:pPr>
              <w:spacing w:before="60" w:after="60"/>
              <w:rPr>
                <w:sz w:val="20"/>
              </w:rPr>
            </w:pPr>
            <w:hyperlink r:id="rId13" w:history="1">
              <w:r w:rsidRPr="00447C2F">
                <w:rPr>
                  <w:rStyle w:val="Hyperlink"/>
                  <w:sz w:val="20"/>
                </w:rPr>
                <w:t>Oxfam Guide to FPIC</w:t>
              </w:r>
            </w:hyperlink>
          </w:p>
          <w:p w14:paraId="313DA0B7" w14:textId="77777777" w:rsidR="00E27407" w:rsidRDefault="00E27407" w:rsidP="00414B44">
            <w:pPr>
              <w:pStyle w:val="ListParagraph"/>
              <w:numPr>
                <w:ilvl w:val="0"/>
                <w:numId w:val="1"/>
              </w:numPr>
              <w:spacing w:before="60" w:after="60"/>
              <w:rPr>
                <w:sz w:val="20"/>
              </w:rPr>
            </w:pPr>
            <w:r>
              <w:rPr>
                <w:sz w:val="20"/>
              </w:rPr>
              <w:t>Guide</w:t>
            </w:r>
          </w:p>
          <w:p w14:paraId="244B6349" w14:textId="77777777" w:rsidR="00E27407" w:rsidRDefault="00E27407" w:rsidP="00414B44">
            <w:pPr>
              <w:pStyle w:val="ListParagraph"/>
              <w:numPr>
                <w:ilvl w:val="0"/>
                <w:numId w:val="1"/>
              </w:numPr>
              <w:spacing w:before="60" w:after="60"/>
              <w:rPr>
                <w:sz w:val="20"/>
              </w:rPr>
            </w:pPr>
            <w:r>
              <w:rPr>
                <w:sz w:val="20"/>
              </w:rPr>
              <w:t>Trainer’s manual</w:t>
            </w:r>
          </w:p>
          <w:p w14:paraId="276AF112" w14:textId="77777777" w:rsidR="00E27407" w:rsidRDefault="00E27407" w:rsidP="00B5763D">
            <w:pPr>
              <w:pStyle w:val="ListParagraph"/>
              <w:numPr>
                <w:ilvl w:val="0"/>
                <w:numId w:val="1"/>
              </w:numPr>
              <w:spacing w:before="60" w:after="60"/>
              <w:rPr>
                <w:sz w:val="20"/>
              </w:rPr>
            </w:pPr>
            <w:r>
              <w:rPr>
                <w:sz w:val="20"/>
              </w:rPr>
              <w:t>Training Cards</w:t>
            </w:r>
          </w:p>
          <w:p w14:paraId="2F694008" w14:textId="4CAF05D2" w:rsidR="00E27407" w:rsidRPr="004F6E25" w:rsidRDefault="00E27407" w:rsidP="00B5763D">
            <w:pPr>
              <w:pStyle w:val="ListParagraph"/>
              <w:numPr>
                <w:ilvl w:val="0"/>
                <w:numId w:val="1"/>
              </w:numPr>
              <w:spacing w:before="60" w:after="60"/>
              <w:rPr>
                <w:sz w:val="20"/>
              </w:rPr>
            </w:pPr>
            <w:r w:rsidRPr="004F6E25">
              <w:rPr>
                <w:sz w:val="20"/>
              </w:rPr>
              <w:t>Video</w:t>
            </w:r>
          </w:p>
        </w:tc>
        <w:tc>
          <w:tcPr>
            <w:tcW w:w="11340" w:type="dxa"/>
          </w:tcPr>
          <w:p w14:paraId="73CA42A1" w14:textId="4F7A1544" w:rsidR="00E27407" w:rsidRPr="00447C2F" w:rsidRDefault="00E27407" w:rsidP="000B20F3">
            <w:pPr>
              <w:spacing w:before="60" w:after="60"/>
              <w:rPr>
                <w:sz w:val="20"/>
              </w:rPr>
            </w:pPr>
            <w:r>
              <w:rPr>
                <w:sz w:val="20"/>
              </w:rPr>
              <w:t xml:space="preserve">Sets out practical steps for using FPIC: </w:t>
            </w:r>
            <w:r>
              <w:rPr>
                <w:sz w:val="20"/>
              </w:rPr>
              <w:br/>
            </w:r>
            <w:r w:rsidRPr="00806238">
              <w:rPr>
                <w:rFonts w:ascii="Times" w:eastAsia="Times New Roman" w:hAnsi="Times"/>
                <w:sz w:val="20"/>
                <w:szCs w:val="20"/>
              </w:rPr>
              <w:t>1</w:t>
            </w:r>
            <w:r>
              <w:rPr>
                <w:rFonts w:ascii="Times" w:eastAsia="Times New Roman" w:hAnsi="Times"/>
                <w:sz w:val="20"/>
                <w:szCs w:val="20"/>
              </w:rPr>
              <w:t>.</w:t>
            </w:r>
            <w:r w:rsidRPr="00806238">
              <w:rPr>
                <w:rFonts w:ascii="Times" w:eastAsia="Times New Roman" w:hAnsi="Times"/>
                <w:sz w:val="20"/>
                <w:szCs w:val="20"/>
              </w:rPr>
              <w:t xml:space="preserve"> Find out who is developing the planned project</w:t>
            </w:r>
            <w:r>
              <w:rPr>
                <w:rFonts w:ascii="Times" w:eastAsia="Times New Roman" w:hAnsi="Times"/>
                <w:sz w:val="20"/>
                <w:szCs w:val="20"/>
              </w:rPr>
              <w:t>.</w:t>
            </w:r>
            <w:r w:rsidRPr="00806238">
              <w:rPr>
                <w:rFonts w:ascii="Times" w:eastAsia="Times New Roman" w:hAnsi="Times"/>
                <w:sz w:val="20"/>
                <w:szCs w:val="20"/>
              </w:rPr>
              <w:t xml:space="preserve"> </w:t>
            </w:r>
            <w:r>
              <w:rPr>
                <w:rFonts w:ascii="Times" w:eastAsia="Times New Roman" w:hAnsi="Times"/>
                <w:sz w:val="20"/>
                <w:szCs w:val="20"/>
              </w:rPr>
              <w:br/>
            </w:r>
            <w:r w:rsidRPr="00806238">
              <w:rPr>
                <w:rFonts w:ascii="Times" w:eastAsia="Times New Roman" w:hAnsi="Times"/>
                <w:sz w:val="20"/>
                <w:szCs w:val="20"/>
              </w:rPr>
              <w:t>2</w:t>
            </w:r>
            <w:r>
              <w:rPr>
                <w:rFonts w:ascii="Times" w:eastAsia="Times New Roman" w:hAnsi="Times"/>
                <w:sz w:val="20"/>
                <w:szCs w:val="20"/>
              </w:rPr>
              <w:t>.</w:t>
            </w:r>
            <w:r w:rsidRPr="00806238">
              <w:rPr>
                <w:rFonts w:ascii="Times" w:eastAsia="Times New Roman" w:hAnsi="Times"/>
                <w:sz w:val="20"/>
                <w:szCs w:val="20"/>
              </w:rPr>
              <w:t xml:space="preserve"> Request information from the project developers</w:t>
            </w:r>
            <w:r>
              <w:rPr>
                <w:rFonts w:ascii="Times" w:eastAsia="Times New Roman" w:hAnsi="Times"/>
                <w:sz w:val="20"/>
                <w:szCs w:val="20"/>
              </w:rPr>
              <w:t>.</w:t>
            </w:r>
            <w:r w:rsidRPr="00806238">
              <w:rPr>
                <w:rFonts w:ascii="Times" w:eastAsia="Times New Roman" w:hAnsi="Times"/>
                <w:sz w:val="20"/>
                <w:szCs w:val="20"/>
              </w:rPr>
              <w:t xml:space="preserve"> </w:t>
            </w:r>
            <w:r>
              <w:rPr>
                <w:rFonts w:ascii="Times" w:eastAsia="Times New Roman" w:hAnsi="Times"/>
                <w:sz w:val="20"/>
                <w:szCs w:val="20"/>
              </w:rPr>
              <w:br/>
            </w:r>
            <w:r w:rsidRPr="00806238">
              <w:rPr>
                <w:rFonts w:ascii="Times" w:eastAsia="Times New Roman" w:hAnsi="Times"/>
                <w:sz w:val="20"/>
                <w:szCs w:val="20"/>
              </w:rPr>
              <w:t>3</w:t>
            </w:r>
            <w:r>
              <w:rPr>
                <w:rFonts w:ascii="Times" w:eastAsia="Times New Roman" w:hAnsi="Times"/>
                <w:sz w:val="20"/>
                <w:szCs w:val="20"/>
              </w:rPr>
              <w:t>.</w:t>
            </w:r>
            <w:r w:rsidRPr="00806238">
              <w:rPr>
                <w:rFonts w:ascii="Times" w:eastAsia="Times New Roman" w:hAnsi="Times"/>
                <w:sz w:val="20"/>
                <w:szCs w:val="20"/>
              </w:rPr>
              <w:t xml:space="preserve"> Hold discussions within your community</w:t>
            </w:r>
            <w:r>
              <w:rPr>
                <w:rFonts w:ascii="Times" w:eastAsia="Times New Roman" w:hAnsi="Times"/>
                <w:sz w:val="20"/>
                <w:szCs w:val="20"/>
              </w:rPr>
              <w:t>.</w:t>
            </w:r>
            <w:r w:rsidRPr="00806238">
              <w:rPr>
                <w:rFonts w:ascii="Times" w:eastAsia="Times New Roman" w:hAnsi="Times"/>
                <w:sz w:val="20"/>
                <w:szCs w:val="20"/>
              </w:rPr>
              <w:t xml:space="preserve"> </w:t>
            </w:r>
            <w:r>
              <w:rPr>
                <w:rFonts w:ascii="Times" w:eastAsia="Times New Roman" w:hAnsi="Times"/>
                <w:sz w:val="20"/>
                <w:szCs w:val="20"/>
              </w:rPr>
              <w:br/>
            </w:r>
            <w:r w:rsidRPr="00806238">
              <w:rPr>
                <w:rFonts w:ascii="Times" w:eastAsia="Times New Roman" w:hAnsi="Times"/>
                <w:sz w:val="20"/>
                <w:szCs w:val="20"/>
              </w:rPr>
              <w:t>4</w:t>
            </w:r>
            <w:r>
              <w:rPr>
                <w:rFonts w:ascii="Times" w:eastAsia="Times New Roman" w:hAnsi="Times"/>
                <w:sz w:val="20"/>
                <w:szCs w:val="20"/>
              </w:rPr>
              <w:t>.</w:t>
            </w:r>
            <w:r w:rsidRPr="00806238">
              <w:rPr>
                <w:rFonts w:ascii="Times" w:eastAsia="Times New Roman" w:hAnsi="Times"/>
                <w:sz w:val="20"/>
                <w:szCs w:val="20"/>
              </w:rPr>
              <w:t xml:space="preserve"> Community negotiations with the project developers</w:t>
            </w:r>
            <w:r>
              <w:rPr>
                <w:rFonts w:ascii="Times" w:eastAsia="Times New Roman" w:hAnsi="Times"/>
                <w:sz w:val="20"/>
                <w:szCs w:val="20"/>
              </w:rPr>
              <w:t xml:space="preserve">. </w:t>
            </w:r>
            <w:r>
              <w:rPr>
                <w:rFonts w:ascii="Times" w:eastAsia="Times New Roman" w:hAnsi="Times"/>
                <w:sz w:val="20"/>
                <w:szCs w:val="20"/>
              </w:rPr>
              <w:br/>
            </w:r>
            <w:r w:rsidRPr="00806238">
              <w:rPr>
                <w:rFonts w:ascii="Times" w:eastAsia="Times New Roman" w:hAnsi="Times"/>
                <w:sz w:val="20"/>
                <w:szCs w:val="20"/>
              </w:rPr>
              <w:t>5</w:t>
            </w:r>
            <w:r>
              <w:rPr>
                <w:rFonts w:ascii="Times" w:eastAsia="Times New Roman" w:hAnsi="Times"/>
                <w:sz w:val="20"/>
                <w:szCs w:val="20"/>
              </w:rPr>
              <w:t>.</w:t>
            </w:r>
            <w:r w:rsidRPr="00806238">
              <w:rPr>
                <w:rFonts w:ascii="Times" w:eastAsia="Times New Roman" w:hAnsi="Times"/>
                <w:sz w:val="20"/>
                <w:szCs w:val="20"/>
              </w:rPr>
              <w:t xml:space="preserve"> Seek independent advice</w:t>
            </w:r>
            <w:r>
              <w:rPr>
                <w:rFonts w:ascii="Times" w:eastAsia="Times New Roman" w:hAnsi="Times"/>
                <w:sz w:val="20"/>
                <w:szCs w:val="20"/>
              </w:rPr>
              <w:t>.</w:t>
            </w:r>
            <w:r w:rsidRPr="00806238">
              <w:rPr>
                <w:rFonts w:ascii="Times" w:eastAsia="Times New Roman" w:hAnsi="Times"/>
                <w:sz w:val="20"/>
                <w:szCs w:val="20"/>
              </w:rPr>
              <w:t xml:space="preserve"> </w:t>
            </w:r>
            <w:r>
              <w:rPr>
                <w:rFonts w:ascii="Times" w:eastAsia="Times New Roman" w:hAnsi="Times"/>
                <w:sz w:val="20"/>
                <w:szCs w:val="20"/>
              </w:rPr>
              <w:br/>
            </w:r>
            <w:r w:rsidRPr="00806238">
              <w:rPr>
                <w:rFonts w:ascii="Times" w:eastAsia="Times New Roman" w:hAnsi="Times"/>
                <w:sz w:val="20"/>
                <w:szCs w:val="20"/>
              </w:rPr>
              <w:t>6</w:t>
            </w:r>
            <w:r>
              <w:rPr>
                <w:rFonts w:ascii="Times" w:eastAsia="Times New Roman" w:hAnsi="Times"/>
                <w:sz w:val="20"/>
                <w:szCs w:val="20"/>
              </w:rPr>
              <w:t>.</w:t>
            </w:r>
            <w:r w:rsidRPr="00806238">
              <w:rPr>
                <w:rFonts w:ascii="Times" w:eastAsia="Times New Roman" w:hAnsi="Times"/>
                <w:sz w:val="20"/>
                <w:szCs w:val="20"/>
              </w:rPr>
              <w:t xml:space="preserve"> Make decisions as a community</w:t>
            </w:r>
            <w:r>
              <w:rPr>
                <w:rFonts w:ascii="Times" w:eastAsia="Times New Roman" w:hAnsi="Times"/>
                <w:sz w:val="20"/>
                <w:szCs w:val="20"/>
              </w:rPr>
              <w:t>.</w:t>
            </w:r>
          </w:p>
        </w:tc>
      </w:tr>
      <w:tr w:rsidR="00E27407" w:rsidRPr="00447C2F" w14:paraId="67670D32" w14:textId="77777777" w:rsidTr="00E27407">
        <w:trPr>
          <w:cantSplit/>
        </w:trPr>
        <w:tc>
          <w:tcPr>
            <w:tcW w:w="3656" w:type="dxa"/>
          </w:tcPr>
          <w:p w14:paraId="1D4787D5" w14:textId="50F59801" w:rsidR="00E27407" w:rsidRPr="00447C2F" w:rsidRDefault="00E27407" w:rsidP="00B5763D">
            <w:pPr>
              <w:spacing w:before="60" w:after="60"/>
              <w:rPr>
                <w:sz w:val="20"/>
              </w:rPr>
            </w:pPr>
            <w:r>
              <w:rPr>
                <w:sz w:val="20"/>
              </w:rPr>
              <w:t xml:space="preserve">EI Academy video trainings </w:t>
            </w:r>
            <w:r>
              <w:rPr>
                <w:b/>
                <w:i/>
                <w:sz w:val="20"/>
              </w:rPr>
              <w:t>(WIP)</w:t>
            </w:r>
          </w:p>
        </w:tc>
        <w:tc>
          <w:tcPr>
            <w:tcW w:w="11340" w:type="dxa"/>
          </w:tcPr>
          <w:p w14:paraId="5C32A6DB" w14:textId="78D52EE8" w:rsidR="00E27407" w:rsidRPr="00644E1E" w:rsidRDefault="00E27407" w:rsidP="00644E1E">
            <w:pPr>
              <w:spacing w:before="60" w:after="60"/>
              <w:rPr>
                <w:sz w:val="20"/>
              </w:rPr>
            </w:pPr>
            <w:r w:rsidRPr="00644E1E">
              <w:rPr>
                <w:sz w:val="20"/>
              </w:rPr>
              <w:t>An online video series (still in development) on how communities can negotiate better extractive agreements. 'How Companies Think' is an example of one episode. Other topics will include government relations, environmental issues, financial planning, negotiation and preparation, and community consensus building. Trialing in Argentina and Uganda before attempting to scale up.</w:t>
            </w:r>
          </w:p>
        </w:tc>
      </w:tr>
      <w:tr w:rsidR="00E27407" w:rsidRPr="00447C2F" w14:paraId="40D8F635" w14:textId="77777777" w:rsidTr="00E27407">
        <w:trPr>
          <w:cantSplit/>
        </w:trPr>
        <w:tc>
          <w:tcPr>
            <w:tcW w:w="3656" w:type="dxa"/>
          </w:tcPr>
          <w:p w14:paraId="77721CC4" w14:textId="702ADB36" w:rsidR="00E27407" w:rsidRPr="00447C2F" w:rsidRDefault="00E27407" w:rsidP="00B5763D">
            <w:pPr>
              <w:spacing w:before="60" w:after="60"/>
              <w:rPr>
                <w:sz w:val="20"/>
              </w:rPr>
            </w:pPr>
            <w:hyperlink r:id="rId14" w:history="1">
              <w:r w:rsidRPr="00FC47B9">
                <w:rPr>
                  <w:rStyle w:val="Hyperlink"/>
                  <w:sz w:val="20"/>
                </w:rPr>
                <w:t>Mining Community Development Source Book</w:t>
              </w:r>
            </w:hyperlink>
            <w:r>
              <w:rPr>
                <w:sz w:val="20"/>
              </w:rPr>
              <w:t xml:space="preserve"> (World Bank)</w:t>
            </w:r>
          </w:p>
        </w:tc>
        <w:tc>
          <w:tcPr>
            <w:tcW w:w="11340" w:type="dxa"/>
          </w:tcPr>
          <w:p w14:paraId="2ADF9492" w14:textId="37289F2D" w:rsidR="00E27407" w:rsidRPr="00447C2F" w:rsidRDefault="00E27407" w:rsidP="00B5763D">
            <w:pPr>
              <w:spacing w:before="60" w:after="60"/>
              <w:rPr>
                <w:sz w:val="20"/>
              </w:rPr>
            </w:pPr>
            <w:r>
              <w:rPr>
                <w:sz w:val="20"/>
              </w:rPr>
              <w:t>Covers negotiation – stakeholder identification, capacity development for negotiations, stakeholder representation.</w:t>
            </w:r>
          </w:p>
        </w:tc>
      </w:tr>
      <w:tr w:rsidR="00E27407" w:rsidRPr="00447C2F" w14:paraId="194AD6F2" w14:textId="77777777" w:rsidTr="00E27407">
        <w:trPr>
          <w:cantSplit/>
        </w:trPr>
        <w:tc>
          <w:tcPr>
            <w:tcW w:w="3656" w:type="dxa"/>
          </w:tcPr>
          <w:p w14:paraId="6DD5B05D" w14:textId="7612C632" w:rsidR="00E27407" w:rsidRDefault="00E27407" w:rsidP="00B5763D">
            <w:pPr>
              <w:spacing w:before="60" w:after="60"/>
              <w:rPr>
                <w:sz w:val="20"/>
              </w:rPr>
            </w:pPr>
            <w:hyperlink r:id="rId15" w:history="1">
              <w:r w:rsidRPr="00AA0B01">
                <w:rPr>
                  <w:rStyle w:val="Hyperlink"/>
                  <w:sz w:val="20"/>
                </w:rPr>
                <w:t>Respecting Free, Prior, and Informed Consent: Practical guidance for governments, companies, NGOs, indigenous peoples and local communities in relation to land acquisition</w:t>
              </w:r>
            </w:hyperlink>
            <w:r>
              <w:rPr>
                <w:sz w:val="20"/>
              </w:rPr>
              <w:br/>
              <w:t>(FAO)</w:t>
            </w:r>
          </w:p>
        </w:tc>
        <w:tc>
          <w:tcPr>
            <w:tcW w:w="11340" w:type="dxa"/>
          </w:tcPr>
          <w:p w14:paraId="4138CCCC" w14:textId="4E7960C4" w:rsidR="00E27407" w:rsidRDefault="00E27407" w:rsidP="00644E1E">
            <w:pPr>
              <w:rPr>
                <w:sz w:val="20"/>
              </w:rPr>
            </w:pPr>
            <w:r>
              <w:rPr>
                <w:sz w:val="20"/>
              </w:rPr>
              <w:t xml:space="preserve">(Very brief) sections on </w:t>
            </w:r>
          </w:p>
          <w:p w14:paraId="2FBC1BA1" w14:textId="6B0927F3" w:rsidR="00E27407" w:rsidRPr="00644E1E" w:rsidRDefault="00E27407" w:rsidP="00644E1E">
            <w:pPr>
              <w:numPr>
                <w:ilvl w:val="0"/>
                <w:numId w:val="12"/>
              </w:numPr>
              <w:tabs>
                <w:tab w:val="num" w:pos="720"/>
              </w:tabs>
              <w:spacing w:before="60" w:after="60"/>
              <w:rPr>
                <w:sz w:val="20"/>
              </w:rPr>
            </w:pPr>
            <w:r w:rsidRPr="00644E1E">
              <w:rPr>
                <w:sz w:val="20"/>
              </w:rPr>
              <w:t>Identifying decision-making institutions and representatives</w:t>
            </w:r>
            <w:r>
              <w:rPr>
                <w:sz w:val="20"/>
              </w:rPr>
              <w:t xml:space="preserve"> (in communities).</w:t>
            </w:r>
          </w:p>
          <w:p w14:paraId="54BDF090" w14:textId="594E9807" w:rsidR="00E27407" w:rsidRPr="00644E1E" w:rsidRDefault="00E27407" w:rsidP="00644E1E">
            <w:pPr>
              <w:numPr>
                <w:ilvl w:val="0"/>
                <w:numId w:val="12"/>
              </w:numPr>
              <w:tabs>
                <w:tab w:val="num" w:pos="720"/>
              </w:tabs>
              <w:spacing w:before="60" w:after="60"/>
              <w:rPr>
                <w:sz w:val="20"/>
              </w:rPr>
            </w:pPr>
            <w:r w:rsidRPr="00644E1E">
              <w:rPr>
                <w:sz w:val="20"/>
              </w:rPr>
              <w:t>Reaching agreement and making it effective</w:t>
            </w:r>
            <w:r>
              <w:rPr>
                <w:sz w:val="20"/>
              </w:rPr>
              <w:t>.</w:t>
            </w:r>
          </w:p>
          <w:p w14:paraId="6806F9FC" w14:textId="50484FC9" w:rsidR="00E27407" w:rsidRPr="00644E1E" w:rsidRDefault="00E27407" w:rsidP="00644E1E">
            <w:pPr>
              <w:numPr>
                <w:ilvl w:val="0"/>
                <w:numId w:val="12"/>
              </w:numPr>
              <w:tabs>
                <w:tab w:val="num" w:pos="720"/>
              </w:tabs>
              <w:spacing w:before="60" w:after="60"/>
              <w:rPr>
                <w:sz w:val="20"/>
              </w:rPr>
            </w:pPr>
            <w:r w:rsidRPr="00644E1E">
              <w:rPr>
                <w:sz w:val="20"/>
              </w:rPr>
              <w:t>Monitoring and verifying agreements</w:t>
            </w:r>
            <w:r>
              <w:rPr>
                <w:sz w:val="20"/>
              </w:rPr>
              <w:t>.</w:t>
            </w:r>
          </w:p>
          <w:p w14:paraId="39DBCD1B" w14:textId="779B55B6" w:rsidR="00E27407" w:rsidRPr="00E27407" w:rsidRDefault="00E27407" w:rsidP="00B5763D">
            <w:pPr>
              <w:numPr>
                <w:ilvl w:val="0"/>
                <w:numId w:val="12"/>
              </w:numPr>
              <w:tabs>
                <w:tab w:val="num" w:pos="720"/>
              </w:tabs>
              <w:spacing w:before="60" w:after="60"/>
              <w:rPr>
                <w:sz w:val="20"/>
              </w:rPr>
            </w:pPr>
            <w:r w:rsidRPr="00644E1E">
              <w:rPr>
                <w:sz w:val="20"/>
              </w:rPr>
              <w:t>Establishing a grievance process</w:t>
            </w:r>
            <w:r>
              <w:rPr>
                <w:sz w:val="20"/>
              </w:rPr>
              <w:t>.</w:t>
            </w:r>
          </w:p>
        </w:tc>
      </w:tr>
      <w:tr w:rsidR="00E27407" w:rsidRPr="00447C2F" w14:paraId="73400489" w14:textId="77777777" w:rsidTr="00E27407">
        <w:trPr>
          <w:cantSplit/>
          <w:trHeight w:val="2213"/>
        </w:trPr>
        <w:tc>
          <w:tcPr>
            <w:tcW w:w="3656" w:type="dxa"/>
          </w:tcPr>
          <w:p w14:paraId="1A7D3FE1" w14:textId="77777777" w:rsidR="00E27407" w:rsidRDefault="00E27407" w:rsidP="00596D69">
            <w:pPr>
              <w:spacing w:before="60" w:after="60"/>
              <w:rPr>
                <w:sz w:val="20"/>
              </w:rPr>
            </w:pPr>
            <w:r w:rsidRPr="00596D69">
              <w:rPr>
                <w:sz w:val="20"/>
              </w:rPr>
              <w:lastRenderedPageBreak/>
              <w:t xml:space="preserve">Avoiding Forced Evictions:  A Community Guide to Negotiation and Advocacy </w:t>
            </w:r>
          </w:p>
          <w:p w14:paraId="18ACA9BE" w14:textId="77777777" w:rsidR="00E27407" w:rsidRDefault="00E27407" w:rsidP="00B5763D">
            <w:pPr>
              <w:pStyle w:val="ListParagraph"/>
              <w:numPr>
                <w:ilvl w:val="0"/>
                <w:numId w:val="14"/>
              </w:numPr>
              <w:spacing w:before="60" w:after="60"/>
              <w:rPr>
                <w:sz w:val="20"/>
              </w:rPr>
            </w:pPr>
            <w:hyperlink r:id="rId16" w:history="1">
              <w:r w:rsidRPr="00596D69">
                <w:rPr>
                  <w:rStyle w:val="Hyperlink"/>
                  <w:sz w:val="20"/>
                </w:rPr>
                <w:t xml:space="preserve">Facilitator’s </w:t>
              </w:r>
              <w:r>
                <w:rPr>
                  <w:rStyle w:val="Hyperlink"/>
                  <w:sz w:val="20"/>
                </w:rPr>
                <w:t>Manual</w:t>
              </w:r>
            </w:hyperlink>
          </w:p>
          <w:p w14:paraId="0496B150" w14:textId="77777777" w:rsidR="00E27407" w:rsidRDefault="00E27407" w:rsidP="00B5763D">
            <w:pPr>
              <w:pStyle w:val="ListParagraph"/>
              <w:numPr>
                <w:ilvl w:val="0"/>
                <w:numId w:val="14"/>
              </w:numPr>
              <w:spacing w:before="60" w:after="60"/>
              <w:rPr>
                <w:sz w:val="20"/>
              </w:rPr>
            </w:pPr>
            <w:hyperlink r:id="rId17" w:history="1">
              <w:r w:rsidRPr="00596D69">
                <w:rPr>
                  <w:rStyle w:val="Hyperlink"/>
                  <w:sz w:val="20"/>
                </w:rPr>
                <w:t>Participant’s Manual</w:t>
              </w:r>
            </w:hyperlink>
          </w:p>
          <w:p w14:paraId="22FF235A" w14:textId="41086C44" w:rsidR="00E27407" w:rsidRPr="00596D69" w:rsidRDefault="00E27407" w:rsidP="00596D69">
            <w:pPr>
              <w:spacing w:before="60" w:after="60"/>
              <w:rPr>
                <w:sz w:val="20"/>
              </w:rPr>
            </w:pPr>
            <w:r>
              <w:rPr>
                <w:sz w:val="20"/>
              </w:rPr>
              <w:t>(Inclusive Development International)</w:t>
            </w:r>
          </w:p>
        </w:tc>
        <w:tc>
          <w:tcPr>
            <w:tcW w:w="11340" w:type="dxa"/>
          </w:tcPr>
          <w:p w14:paraId="5C8BB97C" w14:textId="77777777" w:rsidR="00E27407" w:rsidRDefault="00E27407" w:rsidP="008A6D00">
            <w:pPr>
              <w:spacing w:before="60" w:after="60"/>
              <w:rPr>
                <w:sz w:val="20"/>
              </w:rPr>
            </w:pPr>
            <w:r>
              <w:rPr>
                <w:sz w:val="20"/>
              </w:rPr>
              <w:t>Detailed sections on:</w:t>
            </w:r>
          </w:p>
          <w:p w14:paraId="60A97D90" w14:textId="7268C9F1" w:rsidR="00E27407" w:rsidRDefault="00E27407" w:rsidP="008A6D00">
            <w:pPr>
              <w:numPr>
                <w:ilvl w:val="0"/>
                <w:numId w:val="12"/>
              </w:numPr>
              <w:tabs>
                <w:tab w:val="num" w:pos="720"/>
              </w:tabs>
              <w:spacing w:before="60" w:after="60"/>
              <w:rPr>
                <w:sz w:val="20"/>
              </w:rPr>
            </w:pPr>
            <w:r w:rsidRPr="008A6D00">
              <w:rPr>
                <w:sz w:val="20"/>
              </w:rPr>
              <w:t>Introduction to negotiation and displacement</w:t>
            </w:r>
            <w:r>
              <w:rPr>
                <w:sz w:val="20"/>
              </w:rPr>
              <w:t>.</w:t>
            </w:r>
            <w:r w:rsidRPr="008A6D00">
              <w:rPr>
                <w:sz w:val="20"/>
              </w:rPr>
              <w:t xml:space="preserve"> </w:t>
            </w:r>
          </w:p>
          <w:p w14:paraId="16A22565" w14:textId="369AF9AA" w:rsidR="00E27407" w:rsidRPr="008A6D00" w:rsidRDefault="00E27407" w:rsidP="008A6D00">
            <w:pPr>
              <w:numPr>
                <w:ilvl w:val="0"/>
                <w:numId w:val="12"/>
              </w:numPr>
              <w:tabs>
                <w:tab w:val="num" w:pos="720"/>
              </w:tabs>
              <w:spacing w:before="60" w:after="60"/>
              <w:rPr>
                <w:sz w:val="20"/>
              </w:rPr>
            </w:pPr>
            <w:r>
              <w:rPr>
                <w:sz w:val="20"/>
              </w:rPr>
              <w:t>Gathering information.</w:t>
            </w:r>
          </w:p>
          <w:p w14:paraId="65816164" w14:textId="63BF227D" w:rsidR="00E27407" w:rsidRPr="008A6D00" w:rsidRDefault="00E27407" w:rsidP="008A6D00">
            <w:pPr>
              <w:numPr>
                <w:ilvl w:val="0"/>
                <w:numId w:val="12"/>
              </w:numPr>
              <w:tabs>
                <w:tab w:val="num" w:pos="720"/>
              </w:tabs>
              <w:spacing w:before="60" w:after="60"/>
              <w:rPr>
                <w:sz w:val="20"/>
              </w:rPr>
            </w:pPr>
            <w:r>
              <w:rPr>
                <w:sz w:val="20"/>
              </w:rPr>
              <w:t>U</w:t>
            </w:r>
            <w:r w:rsidRPr="008A6D00">
              <w:rPr>
                <w:sz w:val="20"/>
              </w:rPr>
              <w:t>nder</w:t>
            </w:r>
            <w:r>
              <w:rPr>
                <w:sz w:val="20"/>
              </w:rPr>
              <w:t>standing the parties’ interests.</w:t>
            </w:r>
          </w:p>
          <w:p w14:paraId="2E39F25E" w14:textId="37DE3C61" w:rsidR="00E27407" w:rsidRPr="008A6D00" w:rsidRDefault="00E27407" w:rsidP="008A6D00">
            <w:pPr>
              <w:numPr>
                <w:ilvl w:val="0"/>
                <w:numId w:val="12"/>
              </w:numPr>
              <w:tabs>
                <w:tab w:val="num" w:pos="720"/>
              </w:tabs>
              <w:spacing w:before="60" w:after="60"/>
              <w:rPr>
                <w:sz w:val="20"/>
              </w:rPr>
            </w:pPr>
            <w:r>
              <w:rPr>
                <w:sz w:val="20"/>
              </w:rPr>
              <w:t>D</w:t>
            </w:r>
            <w:r w:rsidRPr="008A6D00">
              <w:rPr>
                <w:sz w:val="20"/>
              </w:rPr>
              <w:t xml:space="preserve">eveloping </w:t>
            </w:r>
            <w:r>
              <w:rPr>
                <w:sz w:val="20"/>
              </w:rPr>
              <w:t>options for possible agreements.</w:t>
            </w:r>
          </w:p>
          <w:p w14:paraId="4DFBD8D9" w14:textId="1513E8FF" w:rsidR="00E27407" w:rsidRPr="008A6D00" w:rsidRDefault="00E27407" w:rsidP="008A6D00">
            <w:pPr>
              <w:numPr>
                <w:ilvl w:val="0"/>
                <w:numId w:val="12"/>
              </w:numPr>
              <w:tabs>
                <w:tab w:val="num" w:pos="720"/>
              </w:tabs>
              <w:spacing w:before="60" w:after="60"/>
              <w:rPr>
                <w:sz w:val="20"/>
              </w:rPr>
            </w:pPr>
            <w:r>
              <w:rPr>
                <w:sz w:val="20"/>
              </w:rPr>
              <w:t xml:space="preserve">Forms of communication </w:t>
            </w:r>
            <w:r w:rsidRPr="008A6D00">
              <w:rPr>
                <w:sz w:val="20"/>
              </w:rPr>
              <w:t>du</w:t>
            </w:r>
            <w:r>
              <w:rPr>
                <w:sz w:val="20"/>
              </w:rPr>
              <w:t>ring the process of negotiation.</w:t>
            </w:r>
          </w:p>
          <w:p w14:paraId="30FBFA47" w14:textId="40827111" w:rsidR="00E27407" w:rsidRPr="00E27407" w:rsidRDefault="00E27407" w:rsidP="00E27407">
            <w:pPr>
              <w:numPr>
                <w:ilvl w:val="0"/>
                <w:numId w:val="12"/>
              </w:numPr>
              <w:tabs>
                <w:tab w:val="num" w:pos="720"/>
              </w:tabs>
              <w:spacing w:before="60" w:after="60"/>
              <w:rPr>
                <w:sz w:val="20"/>
              </w:rPr>
            </w:pPr>
            <w:r w:rsidRPr="008A6D00">
              <w:rPr>
                <w:sz w:val="20"/>
              </w:rPr>
              <w:t>C</w:t>
            </w:r>
            <w:r>
              <w:rPr>
                <w:sz w:val="20"/>
              </w:rPr>
              <w:t>ommunity negotiation strategies.</w:t>
            </w:r>
          </w:p>
        </w:tc>
      </w:tr>
      <w:tr w:rsidR="00E27407" w:rsidRPr="00447C2F" w14:paraId="1278B7BA" w14:textId="77777777" w:rsidTr="00E27407">
        <w:trPr>
          <w:cantSplit/>
          <w:trHeight w:val="1988"/>
        </w:trPr>
        <w:tc>
          <w:tcPr>
            <w:tcW w:w="3656" w:type="dxa"/>
          </w:tcPr>
          <w:p w14:paraId="176AF1DE" w14:textId="4A25314C" w:rsidR="00E27407" w:rsidRPr="00596D69" w:rsidRDefault="00E27407" w:rsidP="00596D69">
            <w:pPr>
              <w:spacing w:before="60" w:after="60"/>
              <w:rPr>
                <w:sz w:val="20"/>
              </w:rPr>
            </w:pPr>
            <w:hyperlink r:id="rId18" w:history="1">
              <w:r w:rsidRPr="00825B6E">
                <w:rPr>
                  <w:rStyle w:val="Hyperlink"/>
                  <w:sz w:val="20"/>
                </w:rPr>
                <w:t>Guide to Negotiating Investment Contracts for Farmland and Water</w:t>
              </w:r>
            </w:hyperlink>
            <w:r>
              <w:rPr>
                <w:sz w:val="20"/>
              </w:rPr>
              <w:t xml:space="preserve"> (IISD)</w:t>
            </w:r>
          </w:p>
        </w:tc>
        <w:tc>
          <w:tcPr>
            <w:tcW w:w="11340" w:type="dxa"/>
          </w:tcPr>
          <w:p w14:paraId="7CCD9D66" w14:textId="70275436" w:rsidR="00E27407" w:rsidRDefault="00E27407" w:rsidP="002E0EC6">
            <w:pPr>
              <w:spacing w:before="60" w:after="60"/>
              <w:rPr>
                <w:sz w:val="20"/>
              </w:rPr>
            </w:pPr>
            <w:r w:rsidRPr="00825B6E">
              <w:rPr>
                <w:sz w:val="20"/>
              </w:rPr>
              <w:t>The IISD Guide to Negotiating Investment Contracts for Farmland and Water is a legal and policy tool for governments and</w:t>
            </w:r>
            <w:r>
              <w:rPr>
                <w:sz w:val="20"/>
              </w:rPr>
              <w:t xml:space="preserve"> </w:t>
            </w:r>
            <w:r w:rsidRPr="00825B6E">
              <w:rPr>
                <w:sz w:val="20"/>
              </w:rPr>
              <w:t>communities that are involved in negotiating investment contracts with foreign investors. The guide focuses on a particular</w:t>
            </w:r>
            <w:r>
              <w:rPr>
                <w:sz w:val="20"/>
              </w:rPr>
              <w:t xml:space="preserve"> </w:t>
            </w:r>
            <w:r w:rsidRPr="00825B6E">
              <w:rPr>
                <w:sz w:val="20"/>
              </w:rPr>
              <w:t>type of contract involving long-term leases of farmland. Part I, Preparing for Negotiations, is designed to assist in the</w:t>
            </w:r>
            <w:r>
              <w:rPr>
                <w:sz w:val="20"/>
              </w:rPr>
              <w:t xml:space="preserve"> </w:t>
            </w:r>
            <w:r w:rsidRPr="00825B6E">
              <w:rPr>
                <w:sz w:val="20"/>
              </w:rPr>
              <w:t>preparatory phase. Part 2, Model Contract, is structured like an investment contract for the lease of farmland and proposes</w:t>
            </w:r>
            <w:r>
              <w:rPr>
                <w:sz w:val="20"/>
              </w:rPr>
              <w:t xml:space="preserve"> </w:t>
            </w:r>
            <w:r w:rsidRPr="00825B6E">
              <w:rPr>
                <w:sz w:val="20"/>
              </w:rPr>
              <w:t>model provisions.</w:t>
            </w:r>
            <w:r>
              <w:rPr>
                <w:sz w:val="20"/>
              </w:rPr>
              <w:t xml:space="preserve"> Part 1 Section 3.5 outlines Community Engagement, which is largely discussed in terms of taking community interests into account when negotiating investor-state contracts, but also mentions need for ‘enforceable community-based agreements, either as part of the principle contract or related to it’ (guidance for the drafting of which is provided in Part 2 Section 8.5). While it states that it is aimed at governments and communities, in practice the guide is primarily a tool for governments and focuses on investor-state contracts. </w:t>
            </w:r>
          </w:p>
        </w:tc>
      </w:tr>
      <w:tr w:rsidR="00E27407" w:rsidRPr="00447C2F" w14:paraId="768213DC" w14:textId="77777777" w:rsidTr="00E27407">
        <w:trPr>
          <w:cantSplit/>
          <w:trHeight w:val="2330"/>
        </w:trPr>
        <w:tc>
          <w:tcPr>
            <w:tcW w:w="3656" w:type="dxa"/>
          </w:tcPr>
          <w:p w14:paraId="0EFBC876" w14:textId="0D3DF92C" w:rsidR="00E27407" w:rsidRPr="00FB2189" w:rsidRDefault="00E27407" w:rsidP="00596D69">
            <w:pPr>
              <w:spacing w:before="60" w:after="60"/>
              <w:rPr>
                <w:sz w:val="20"/>
                <w:szCs w:val="20"/>
              </w:rPr>
            </w:pPr>
            <w:hyperlink r:id="rId19" w:history="1">
              <w:r w:rsidRPr="00FB2189">
                <w:rPr>
                  <w:rStyle w:val="Hyperlink"/>
                  <w:sz w:val="20"/>
                  <w:szCs w:val="20"/>
                </w:rPr>
                <w:t>Handbook on Community Engagement</w:t>
              </w:r>
            </w:hyperlink>
            <w:r w:rsidRPr="00FB2189">
              <w:rPr>
                <w:sz w:val="20"/>
                <w:szCs w:val="20"/>
              </w:rPr>
              <w:t xml:space="preserve"> (South Sudan Law Society)</w:t>
            </w:r>
          </w:p>
        </w:tc>
        <w:tc>
          <w:tcPr>
            <w:tcW w:w="11340" w:type="dxa"/>
          </w:tcPr>
          <w:p w14:paraId="6D2E7880" w14:textId="77777777" w:rsidR="00E27407" w:rsidRPr="00565E71" w:rsidRDefault="00E27407" w:rsidP="00B6750F">
            <w:pPr>
              <w:spacing w:before="60" w:after="60"/>
              <w:rPr>
                <w:sz w:val="20"/>
                <w:szCs w:val="20"/>
              </w:rPr>
            </w:pPr>
            <w:r w:rsidRPr="00FB2189">
              <w:rPr>
                <w:sz w:val="20"/>
                <w:szCs w:val="20"/>
              </w:rPr>
              <w:t>Good practice guide to negotiating lease agreements with landowning communities in South Sudan (focused on large-scale land-based investments in rural areas)</w:t>
            </w:r>
            <w:r w:rsidRPr="004B0F36">
              <w:rPr>
                <w:sz w:val="20"/>
                <w:szCs w:val="20"/>
              </w:rPr>
              <w:t>. Includes content on:</w:t>
            </w:r>
          </w:p>
          <w:p w14:paraId="6EB1EE06" w14:textId="07DB5F2E" w:rsidR="00E27407" w:rsidRPr="00995459" w:rsidRDefault="00E27407" w:rsidP="00EC6CA3">
            <w:pPr>
              <w:pStyle w:val="ListParagraph"/>
              <w:numPr>
                <w:ilvl w:val="0"/>
                <w:numId w:val="16"/>
              </w:numPr>
              <w:spacing w:before="60" w:after="60"/>
              <w:rPr>
                <w:sz w:val="20"/>
                <w:szCs w:val="20"/>
              </w:rPr>
            </w:pPr>
            <w:r w:rsidRPr="00565E71">
              <w:rPr>
                <w:sz w:val="20"/>
                <w:szCs w:val="20"/>
              </w:rPr>
              <w:t>Community engagement</w:t>
            </w:r>
            <w:r w:rsidRPr="007E7B43">
              <w:rPr>
                <w:sz w:val="20"/>
                <w:szCs w:val="20"/>
              </w:rPr>
              <w:t xml:space="preserve"> processes (at all stages of investment)</w:t>
            </w:r>
          </w:p>
          <w:p w14:paraId="405A6DE3" w14:textId="09A26B01" w:rsidR="00E27407" w:rsidRPr="00F71F4E" w:rsidRDefault="00E27407" w:rsidP="00EC6CA3">
            <w:pPr>
              <w:pStyle w:val="ListParagraph"/>
              <w:numPr>
                <w:ilvl w:val="0"/>
                <w:numId w:val="16"/>
              </w:numPr>
              <w:spacing w:before="60" w:after="60"/>
              <w:rPr>
                <w:sz w:val="20"/>
                <w:szCs w:val="20"/>
              </w:rPr>
            </w:pPr>
            <w:r w:rsidRPr="00F71F4E">
              <w:rPr>
                <w:sz w:val="20"/>
                <w:szCs w:val="20"/>
              </w:rPr>
              <w:t>Need for legally binding standalone agreements with communities</w:t>
            </w:r>
          </w:p>
          <w:p w14:paraId="6C45FF8D" w14:textId="36EFACB4" w:rsidR="00E27407" w:rsidRPr="00F71F4E" w:rsidRDefault="00E27407" w:rsidP="00EC6CA3">
            <w:pPr>
              <w:pStyle w:val="ListParagraph"/>
              <w:numPr>
                <w:ilvl w:val="0"/>
                <w:numId w:val="16"/>
              </w:numPr>
              <w:spacing w:before="60" w:after="60"/>
              <w:rPr>
                <w:sz w:val="20"/>
                <w:szCs w:val="20"/>
              </w:rPr>
            </w:pPr>
            <w:r w:rsidRPr="00F71F4E">
              <w:rPr>
                <w:sz w:val="20"/>
                <w:szCs w:val="20"/>
              </w:rPr>
              <w:t>Participatory impact assessment, participatory monitoring, grievance mechanisms etc. (also listed under 2 below)</w:t>
            </w:r>
          </w:p>
        </w:tc>
      </w:tr>
      <w:tr w:rsidR="00E27407" w:rsidRPr="00447C2F" w14:paraId="72AF5539" w14:textId="77777777" w:rsidTr="00E27407">
        <w:trPr>
          <w:cantSplit/>
          <w:trHeight w:val="1493"/>
        </w:trPr>
        <w:tc>
          <w:tcPr>
            <w:tcW w:w="3656" w:type="dxa"/>
          </w:tcPr>
          <w:p w14:paraId="162D9C50" w14:textId="25FBE147" w:rsidR="00E27407" w:rsidRPr="00FB2189" w:rsidRDefault="00E27407" w:rsidP="00596D69">
            <w:pPr>
              <w:spacing w:before="60" w:after="60"/>
              <w:rPr>
                <w:sz w:val="20"/>
                <w:szCs w:val="20"/>
              </w:rPr>
            </w:pPr>
            <w:hyperlink r:id="rId20" w:history="1">
              <w:r w:rsidRPr="00FB2189">
                <w:rPr>
                  <w:rStyle w:val="Hyperlink"/>
                  <w:sz w:val="20"/>
                  <w:szCs w:val="20"/>
                </w:rPr>
                <w:t>Working with agribusiness investors in Timor Leste: Guidelines for community members</w:t>
              </w:r>
            </w:hyperlink>
            <w:r w:rsidRPr="00FB2189">
              <w:rPr>
                <w:sz w:val="20"/>
                <w:szCs w:val="20"/>
              </w:rPr>
              <w:t xml:space="preserve"> (Chamber of Commerce and Industry of Timor-Leste)</w:t>
            </w:r>
          </w:p>
          <w:p w14:paraId="5780CC20" w14:textId="7EEF5BE6" w:rsidR="00E27407" w:rsidRPr="00FB2189" w:rsidRDefault="00E27407" w:rsidP="00596D69">
            <w:pPr>
              <w:spacing w:before="60" w:after="60"/>
              <w:rPr>
                <w:sz w:val="20"/>
                <w:szCs w:val="20"/>
              </w:rPr>
            </w:pPr>
          </w:p>
        </w:tc>
        <w:tc>
          <w:tcPr>
            <w:tcW w:w="11340" w:type="dxa"/>
          </w:tcPr>
          <w:p w14:paraId="0323D566" w14:textId="1CBEA84B" w:rsidR="00E27407" w:rsidRPr="004B0F36" w:rsidRDefault="00E27407" w:rsidP="00A54B49">
            <w:pPr>
              <w:spacing w:before="60" w:after="60"/>
              <w:rPr>
                <w:sz w:val="20"/>
                <w:szCs w:val="20"/>
              </w:rPr>
            </w:pPr>
            <w:r w:rsidRPr="00FB2189">
              <w:rPr>
                <w:sz w:val="20"/>
                <w:szCs w:val="20"/>
              </w:rPr>
              <w:t>Outlines things community members should consider if entering agribusiness partnership with investor. Seem</w:t>
            </w:r>
            <w:r>
              <w:rPr>
                <w:sz w:val="20"/>
                <w:szCs w:val="20"/>
              </w:rPr>
              <w:t>s</w:t>
            </w:r>
            <w:r w:rsidRPr="00FB2189">
              <w:rPr>
                <w:sz w:val="20"/>
                <w:szCs w:val="20"/>
              </w:rPr>
              <w:t xml:space="preserve"> to mainly contemplate transactional agreements (e.g. farmers selling to commercial entities) but includes some discussion of community agreements and land-use issues. </w:t>
            </w:r>
            <w:r w:rsidRPr="004B0F36">
              <w:rPr>
                <w:sz w:val="20"/>
                <w:szCs w:val="20"/>
              </w:rPr>
              <w:t xml:space="preserve">More comprehensive partner document for investors </w:t>
            </w:r>
            <w:r w:rsidRPr="00F816E3">
              <w:rPr>
                <w:sz w:val="20"/>
                <w:szCs w:val="20"/>
              </w:rPr>
              <w:t>available here .(</w:t>
            </w:r>
            <w:r w:rsidRPr="00FB2189">
              <w:rPr>
                <w:sz w:val="20"/>
                <w:szCs w:val="20"/>
              </w:rPr>
              <w:t xml:space="preserve"> http://www-wds.worldbank.org/external/default/WDSContentServer/WDSP/IB/2012/02/28/000386194_20120228001510/Rendered/PDF/662460Revised00teGuidelines0English.pdf</w:t>
            </w:r>
            <w:r w:rsidRPr="004B0F36">
              <w:rPr>
                <w:sz w:val="20"/>
                <w:szCs w:val="20"/>
              </w:rPr>
              <w:t>).</w:t>
            </w:r>
          </w:p>
        </w:tc>
      </w:tr>
      <w:tr w:rsidR="00E27407" w:rsidRPr="00447C2F" w14:paraId="240A47ED" w14:textId="77777777" w:rsidTr="00E27407">
        <w:trPr>
          <w:cantSplit/>
          <w:trHeight w:val="1403"/>
        </w:trPr>
        <w:tc>
          <w:tcPr>
            <w:tcW w:w="3656" w:type="dxa"/>
          </w:tcPr>
          <w:p w14:paraId="1520F019" w14:textId="0B5C9D33" w:rsidR="00E27407" w:rsidRPr="004B0F36" w:rsidRDefault="00E27407" w:rsidP="00596D69">
            <w:pPr>
              <w:spacing w:before="60" w:after="60"/>
              <w:rPr>
                <w:sz w:val="20"/>
                <w:szCs w:val="20"/>
              </w:rPr>
            </w:pPr>
            <w:hyperlink r:id="rId21" w:history="1">
              <w:r w:rsidRPr="004B0F36">
                <w:rPr>
                  <w:rStyle w:val="Hyperlink"/>
                  <w:sz w:val="20"/>
                  <w:szCs w:val="20"/>
                </w:rPr>
                <w:t>Community Development Toolkit</w:t>
              </w:r>
            </w:hyperlink>
            <w:r w:rsidRPr="004B0F36">
              <w:rPr>
                <w:sz w:val="20"/>
                <w:szCs w:val="20"/>
              </w:rPr>
              <w:t xml:space="preserve"> (ICMM)</w:t>
            </w:r>
          </w:p>
        </w:tc>
        <w:tc>
          <w:tcPr>
            <w:tcW w:w="11340" w:type="dxa"/>
          </w:tcPr>
          <w:p w14:paraId="6AED39BB" w14:textId="6F312E91" w:rsidR="00E27407" w:rsidRPr="004B0F36" w:rsidRDefault="00E27407" w:rsidP="00A54B49">
            <w:pPr>
              <w:spacing w:before="60" w:after="60"/>
              <w:rPr>
                <w:sz w:val="20"/>
                <w:szCs w:val="20"/>
              </w:rPr>
            </w:pPr>
            <w:r w:rsidRPr="004B0F36">
              <w:rPr>
                <w:sz w:val="20"/>
                <w:szCs w:val="20"/>
              </w:rPr>
              <w:t>Provides practical guidance for all stages of community development process – from exploration through construction, operations, and eventually decommissioning and closure for mining companies.</w:t>
            </w:r>
          </w:p>
          <w:p w14:paraId="640D4173" w14:textId="29CCB418" w:rsidR="00E27407" w:rsidRPr="004B0F36" w:rsidRDefault="00E27407" w:rsidP="00A54B49">
            <w:pPr>
              <w:spacing w:before="60" w:after="60"/>
              <w:rPr>
                <w:sz w:val="20"/>
                <w:szCs w:val="20"/>
              </w:rPr>
            </w:pPr>
            <w:r w:rsidRPr="004B0F36">
              <w:rPr>
                <w:sz w:val="20"/>
                <w:szCs w:val="20"/>
              </w:rPr>
              <w:t>Some highly relevant content including:</w:t>
            </w:r>
          </w:p>
          <w:p w14:paraId="41214FE9" w14:textId="6D085F30" w:rsidR="00E27407" w:rsidRPr="004B0F36" w:rsidRDefault="00E27407" w:rsidP="004B0F36">
            <w:pPr>
              <w:pStyle w:val="ListParagraph"/>
              <w:numPr>
                <w:ilvl w:val="0"/>
                <w:numId w:val="16"/>
              </w:numPr>
              <w:spacing w:before="60" w:after="60"/>
              <w:rPr>
                <w:sz w:val="20"/>
                <w:szCs w:val="20"/>
              </w:rPr>
            </w:pPr>
            <w:r w:rsidRPr="004B0F36">
              <w:rPr>
                <w:sz w:val="20"/>
                <w:szCs w:val="20"/>
              </w:rPr>
              <w:t>Community development agreements, management systems, community action plans etc (under ‘Management tools’</w:t>
            </w:r>
          </w:p>
          <w:p w14:paraId="2BA7B06C" w14:textId="213F5D64" w:rsidR="00E27407" w:rsidRPr="00E27407" w:rsidRDefault="00E27407" w:rsidP="00F45D77">
            <w:pPr>
              <w:pStyle w:val="ListParagraph"/>
              <w:numPr>
                <w:ilvl w:val="0"/>
                <w:numId w:val="16"/>
              </w:numPr>
              <w:spacing w:before="60" w:after="60"/>
              <w:rPr>
                <w:sz w:val="20"/>
                <w:szCs w:val="20"/>
              </w:rPr>
            </w:pPr>
            <w:r>
              <w:rPr>
                <w:sz w:val="20"/>
                <w:szCs w:val="20"/>
              </w:rPr>
              <w:t>Monitoring and evaluation tools</w:t>
            </w:r>
          </w:p>
        </w:tc>
      </w:tr>
      <w:tr w:rsidR="00E27407" w:rsidRPr="00447C2F" w14:paraId="5A4D4C54" w14:textId="77777777" w:rsidTr="00E27407">
        <w:trPr>
          <w:cantSplit/>
          <w:trHeight w:val="1772"/>
        </w:trPr>
        <w:tc>
          <w:tcPr>
            <w:tcW w:w="3656" w:type="dxa"/>
          </w:tcPr>
          <w:p w14:paraId="161509A0" w14:textId="1C0A24AA" w:rsidR="00E27407" w:rsidRPr="004B0F36" w:rsidRDefault="00E27407" w:rsidP="00596D69">
            <w:pPr>
              <w:spacing w:before="60" w:after="60"/>
              <w:rPr>
                <w:sz w:val="20"/>
                <w:szCs w:val="20"/>
              </w:rPr>
            </w:pPr>
            <w:hyperlink r:id="rId22" w:history="1">
              <w:r w:rsidRPr="004B0F36">
                <w:rPr>
                  <w:rStyle w:val="Hyperlink"/>
                  <w:sz w:val="20"/>
                  <w:szCs w:val="20"/>
                </w:rPr>
                <w:t>Good Practice Note Community Development Agreements</w:t>
              </w:r>
            </w:hyperlink>
            <w:r w:rsidRPr="004B0F36">
              <w:rPr>
                <w:sz w:val="20"/>
                <w:szCs w:val="20"/>
              </w:rPr>
              <w:t xml:space="preserve"> (CSRM)</w:t>
            </w:r>
          </w:p>
        </w:tc>
        <w:tc>
          <w:tcPr>
            <w:tcW w:w="11340" w:type="dxa"/>
          </w:tcPr>
          <w:p w14:paraId="45D9449C" w14:textId="77777777" w:rsidR="00E27407" w:rsidRPr="004B0F36" w:rsidRDefault="00E27407" w:rsidP="00F45D77">
            <w:pPr>
              <w:spacing w:before="60" w:after="60"/>
              <w:rPr>
                <w:sz w:val="20"/>
                <w:szCs w:val="20"/>
              </w:rPr>
            </w:pPr>
            <w:r w:rsidRPr="004B0F36">
              <w:rPr>
                <w:sz w:val="20"/>
                <w:szCs w:val="20"/>
              </w:rPr>
              <w:t>Provides guidance on processes and structures for negotiating, structuring and implementing agreements, as well as how to maximize effectiveness of CDAs as mechanisms for development. Includes:</w:t>
            </w:r>
          </w:p>
          <w:p w14:paraId="69A53F0E" w14:textId="77777777" w:rsidR="00E27407" w:rsidRPr="004B0F36" w:rsidRDefault="00E27407" w:rsidP="004B0F36">
            <w:pPr>
              <w:pStyle w:val="ListParagraph"/>
              <w:numPr>
                <w:ilvl w:val="0"/>
                <w:numId w:val="17"/>
              </w:numPr>
              <w:spacing w:before="60" w:after="60"/>
              <w:rPr>
                <w:sz w:val="20"/>
                <w:szCs w:val="20"/>
              </w:rPr>
            </w:pPr>
            <w:r w:rsidRPr="004B0F36">
              <w:rPr>
                <w:sz w:val="20"/>
                <w:szCs w:val="20"/>
              </w:rPr>
              <w:t>Overview of types of CDAs – and benefits and risks of CDAs</w:t>
            </w:r>
          </w:p>
          <w:p w14:paraId="1CBA2087" w14:textId="77777777" w:rsidR="00E27407" w:rsidRPr="004B0F36" w:rsidRDefault="00E27407" w:rsidP="004B0F36">
            <w:pPr>
              <w:pStyle w:val="ListParagraph"/>
              <w:numPr>
                <w:ilvl w:val="0"/>
                <w:numId w:val="17"/>
              </w:numPr>
              <w:spacing w:before="60" w:after="60"/>
              <w:rPr>
                <w:sz w:val="20"/>
                <w:szCs w:val="20"/>
              </w:rPr>
            </w:pPr>
            <w:r w:rsidRPr="004B0F36">
              <w:rPr>
                <w:sz w:val="20"/>
                <w:szCs w:val="20"/>
              </w:rPr>
              <w:t>How to determine which communities should be covered by CDA and importance of inclusion</w:t>
            </w:r>
          </w:p>
          <w:p w14:paraId="3D50ABB4" w14:textId="77777777" w:rsidR="00E27407" w:rsidRPr="004B0F36" w:rsidRDefault="00E27407" w:rsidP="004B0F36">
            <w:pPr>
              <w:pStyle w:val="ListParagraph"/>
              <w:numPr>
                <w:ilvl w:val="0"/>
                <w:numId w:val="17"/>
              </w:numPr>
              <w:spacing w:before="60" w:after="60"/>
              <w:rPr>
                <w:sz w:val="20"/>
                <w:szCs w:val="20"/>
              </w:rPr>
            </w:pPr>
            <w:r w:rsidRPr="004B0F36">
              <w:rPr>
                <w:sz w:val="20"/>
                <w:szCs w:val="20"/>
              </w:rPr>
              <w:t>Capacity of governments, companies and communities to negotiate, construct and implement CDAs (including practical initiatives)</w:t>
            </w:r>
          </w:p>
          <w:p w14:paraId="401F0987" w14:textId="45D32DB8" w:rsidR="00E27407" w:rsidRPr="004B0F36" w:rsidRDefault="00E27407" w:rsidP="004B0F36">
            <w:pPr>
              <w:pStyle w:val="ListParagraph"/>
              <w:numPr>
                <w:ilvl w:val="0"/>
                <w:numId w:val="17"/>
              </w:numPr>
              <w:spacing w:before="60" w:after="60"/>
              <w:rPr>
                <w:sz w:val="20"/>
                <w:szCs w:val="20"/>
              </w:rPr>
            </w:pPr>
            <w:r w:rsidRPr="004B0F36">
              <w:rPr>
                <w:sz w:val="20"/>
                <w:szCs w:val="20"/>
              </w:rPr>
              <w:t>Roles of different stakeholders</w:t>
            </w:r>
          </w:p>
        </w:tc>
      </w:tr>
      <w:tr w:rsidR="00E27407" w:rsidRPr="00447C2F" w14:paraId="6B0A47DC" w14:textId="77777777" w:rsidTr="00E27407">
        <w:trPr>
          <w:cantSplit/>
          <w:trHeight w:val="359"/>
        </w:trPr>
        <w:tc>
          <w:tcPr>
            <w:tcW w:w="3656" w:type="dxa"/>
          </w:tcPr>
          <w:p w14:paraId="7E3B97D9" w14:textId="77777777" w:rsidR="00E27407" w:rsidRPr="004B0F36" w:rsidRDefault="00E27407" w:rsidP="00596D69">
            <w:pPr>
              <w:spacing w:before="60" w:after="60"/>
              <w:rPr>
                <w:sz w:val="20"/>
                <w:szCs w:val="20"/>
              </w:rPr>
            </w:pPr>
            <w:hyperlink r:id="rId23" w:history="1">
              <w:r w:rsidRPr="004B0F36">
                <w:rPr>
                  <w:rStyle w:val="Hyperlink"/>
                  <w:sz w:val="20"/>
                  <w:szCs w:val="20"/>
                </w:rPr>
                <w:t>Operational Guidelines for Responsible Land-Based Investment</w:t>
              </w:r>
            </w:hyperlink>
            <w:r w:rsidRPr="004B0F36">
              <w:rPr>
                <w:sz w:val="20"/>
                <w:szCs w:val="20"/>
              </w:rPr>
              <w:t xml:space="preserve"> (USAID)</w:t>
            </w:r>
          </w:p>
          <w:p w14:paraId="4C9E9835" w14:textId="50EF3E16" w:rsidR="00E27407" w:rsidRPr="004B0F36" w:rsidRDefault="00E27407" w:rsidP="00596D69">
            <w:pPr>
              <w:spacing w:before="60" w:after="60"/>
              <w:rPr>
                <w:sz w:val="20"/>
                <w:szCs w:val="20"/>
              </w:rPr>
            </w:pPr>
          </w:p>
        </w:tc>
        <w:tc>
          <w:tcPr>
            <w:tcW w:w="11340" w:type="dxa"/>
          </w:tcPr>
          <w:p w14:paraId="04F24B5C" w14:textId="66932E2B" w:rsidR="00E27407" w:rsidRPr="004B0F36" w:rsidRDefault="00E27407" w:rsidP="00B522B6">
            <w:pPr>
              <w:spacing w:before="60" w:after="60"/>
              <w:rPr>
                <w:sz w:val="20"/>
                <w:szCs w:val="20"/>
              </w:rPr>
            </w:pPr>
            <w:r w:rsidRPr="004B0F36">
              <w:rPr>
                <w:sz w:val="20"/>
                <w:szCs w:val="20"/>
              </w:rPr>
              <w:t>Practical guide designed to help companies mitigate land tenure-related risks.</w:t>
            </w:r>
          </w:p>
          <w:p w14:paraId="7B41F4B4" w14:textId="5CE90AB0" w:rsidR="00E27407" w:rsidRPr="004B0F36" w:rsidRDefault="00E27407" w:rsidP="00B522B6">
            <w:pPr>
              <w:spacing w:before="60" w:after="60"/>
              <w:rPr>
                <w:sz w:val="20"/>
                <w:szCs w:val="20"/>
              </w:rPr>
            </w:pPr>
          </w:p>
        </w:tc>
      </w:tr>
      <w:tr w:rsidR="00E27407" w:rsidRPr="00447C2F" w14:paraId="6301B8E8" w14:textId="77777777" w:rsidTr="00E27407">
        <w:trPr>
          <w:cantSplit/>
          <w:trHeight w:val="1016"/>
        </w:trPr>
        <w:tc>
          <w:tcPr>
            <w:tcW w:w="3656" w:type="dxa"/>
          </w:tcPr>
          <w:p w14:paraId="46B83B1A" w14:textId="58FCF1A4" w:rsidR="00E27407" w:rsidRPr="004B0F36" w:rsidRDefault="00E27407" w:rsidP="00596D69">
            <w:pPr>
              <w:spacing w:before="60" w:after="60"/>
              <w:rPr>
                <w:sz w:val="20"/>
                <w:szCs w:val="20"/>
              </w:rPr>
            </w:pPr>
            <w:hyperlink r:id="rId24" w:history="1">
              <w:r w:rsidRPr="00C5579A">
                <w:rPr>
                  <w:rStyle w:val="Hyperlink"/>
                  <w:sz w:val="20"/>
                  <w:szCs w:val="20"/>
                </w:rPr>
                <w:t>Community/Investor Guidelines for Large-Scale Land Transactions</w:t>
              </w:r>
            </w:hyperlink>
            <w:r w:rsidRPr="00C5579A">
              <w:rPr>
                <w:sz w:val="20"/>
                <w:szCs w:val="20"/>
              </w:rPr>
              <w:t xml:space="preserve"> (Ghana Commercial Agriculture Project)</w:t>
            </w:r>
          </w:p>
        </w:tc>
        <w:tc>
          <w:tcPr>
            <w:tcW w:w="11340" w:type="dxa"/>
          </w:tcPr>
          <w:p w14:paraId="24C02BBD" w14:textId="7ACF1563" w:rsidR="00E27407" w:rsidRPr="004B0F36" w:rsidRDefault="00E27407" w:rsidP="00B522B6">
            <w:pPr>
              <w:spacing w:before="60" w:after="60"/>
              <w:rPr>
                <w:sz w:val="20"/>
                <w:szCs w:val="20"/>
              </w:rPr>
            </w:pPr>
            <w:r w:rsidRPr="00C5579A">
              <w:rPr>
                <w:sz w:val="20"/>
                <w:szCs w:val="20"/>
              </w:rPr>
              <w:t>Aim to address gap in understanding and expectations between customary landowning communities in Ghana and commercial investors; foster a form of consent and support from the community that is broad-based and powerful; and ensure that a wide variety of stakeholders (investors, communities, governments) understand proposed investment and negotiation process.</w:t>
            </w:r>
          </w:p>
        </w:tc>
      </w:tr>
    </w:tbl>
    <w:p w14:paraId="14FA049A" w14:textId="2B779947" w:rsidR="00414B44" w:rsidRDefault="00414B44"/>
    <w:p w14:paraId="53DE2241" w14:textId="124C5C0F" w:rsidR="00414B44" w:rsidRDefault="00D36E59">
      <w:pPr>
        <w:rPr>
          <w:b/>
          <w:bCs/>
        </w:rPr>
      </w:pPr>
      <w:r>
        <w:rPr>
          <w:b/>
          <w:bCs/>
        </w:rPr>
        <w:br w:type="column"/>
      </w:r>
      <w:r w:rsidR="00414B44" w:rsidRPr="00627BC3">
        <w:rPr>
          <w:b/>
          <w:bCs/>
        </w:rPr>
        <w:lastRenderedPageBreak/>
        <w:t>2</w:t>
      </w:r>
      <w:r w:rsidR="00414B44">
        <w:rPr>
          <w:b/>
          <w:bCs/>
        </w:rPr>
        <w:t>.</w:t>
      </w:r>
      <w:r w:rsidR="00414B44" w:rsidRPr="00627BC3">
        <w:rPr>
          <w:b/>
          <w:bCs/>
        </w:rPr>
        <w:t xml:space="preserve"> How to </w:t>
      </w:r>
      <w:r w:rsidR="00414B44">
        <w:rPr>
          <w:b/>
          <w:bCs/>
        </w:rPr>
        <w:t>ensure</w:t>
      </w:r>
      <w:r w:rsidR="00414B44" w:rsidRPr="00627BC3">
        <w:rPr>
          <w:b/>
          <w:bCs/>
        </w:rPr>
        <w:t xml:space="preserve"> investors fulfill the terms of agreed </w:t>
      </w:r>
      <w:r w:rsidR="00414B44">
        <w:rPr>
          <w:b/>
          <w:bCs/>
        </w:rPr>
        <w:t xml:space="preserve">investor-community </w:t>
      </w:r>
      <w:r w:rsidR="00414B44" w:rsidRPr="00627BC3">
        <w:rPr>
          <w:b/>
          <w:bCs/>
        </w:rPr>
        <w:t>contracts</w:t>
      </w:r>
    </w:p>
    <w:p w14:paraId="7F047C40" w14:textId="77777777" w:rsidR="00414B44" w:rsidRDefault="00414B44"/>
    <w:tbl>
      <w:tblPr>
        <w:tblStyle w:val="TableGrid"/>
        <w:tblW w:w="14996" w:type="dxa"/>
        <w:tblInd w:w="-601" w:type="dxa"/>
        <w:tblLayout w:type="fixed"/>
        <w:tblLook w:val="04A0" w:firstRow="1" w:lastRow="0" w:firstColumn="1" w:lastColumn="0" w:noHBand="0" w:noVBand="1"/>
      </w:tblPr>
      <w:tblGrid>
        <w:gridCol w:w="3656"/>
        <w:gridCol w:w="11340"/>
      </w:tblGrid>
      <w:tr w:rsidR="00E27407" w:rsidRPr="00447C2F" w14:paraId="4E1B0E68" w14:textId="77777777" w:rsidTr="00E27407">
        <w:trPr>
          <w:cantSplit/>
          <w:trHeight w:val="341"/>
          <w:tblHeader/>
        </w:trPr>
        <w:tc>
          <w:tcPr>
            <w:tcW w:w="3656" w:type="dxa"/>
            <w:tcBorders>
              <w:bottom w:val="single" w:sz="4" w:space="0" w:color="auto"/>
            </w:tcBorders>
          </w:tcPr>
          <w:p w14:paraId="2ABF9EAD" w14:textId="77777777" w:rsidR="00E27407" w:rsidRPr="00447C2F" w:rsidRDefault="00E27407" w:rsidP="00414B44">
            <w:pPr>
              <w:spacing w:before="60" w:after="60"/>
              <w:rPr>
                <w:b/>
                <w:sz w:val="20"/>
              </w:rPr>
            </w:pPr>
            <w:r>
              <w:rPr>
                <w:b/>
                <w:sz w:val="20"/>
              </w:rPr>
              <w:t>Product</w:t>
            </w:r>
          </w:p>
        </w:tc>
        <w:tc>
          <w:tcPr>
            <w:tcW w:w="11340" w:type="dxa"/>
            <w:tcBorders>
              <w:bottom w:val="single" w:sz="4" w:space="0" w:color="auto"/>
            </w:tcBorders>
          </w:tcPr>
          <w:p w14:paraId="14372D24" w14:textId="77777777" w:rsidR="00E27407" w:rsidRPr="00447C2F" w:rsidRDefault="00E27407" w:rsidP="00414B44">
            <w:pPr>
              <w:spacing w:before="60" w:after="60"/>
              <w:rPr>
                <w:b/>
                <w:sz w:val="20"/>
              </w:rPr>
            </w:pPr>
            <w:r w:rsidRPr="00447C2F">
              <w:rPr>
                <w:b/>
                <w:sz w:val="20"/>
              </w:rPr>
              <w:t>Relevant content</w:t>
            </w:r>
          </w:p>
        </w:tc>
      </w:tr>
      <w:tr w:rsidR="00E27407" w:rsidRPr="00447C2F" w14:paraId="1A023BDC" w14:textId="77777777" w:rsidTr="00E27407">
        <w:trPr>
          <w:cantSplit/>
        </w:trPr>
        <w:tc>
          <w:tcPr>
            <w:tcW w:w="3656" w:type="dxa"/>
            <w:tcBorders>
              <w:bottom w:val="single" w:sz="4" w:space="0" w:color="auto"/>
            </w:tcBorders>
          </w:tcPr>
          <w:p w14:paraId="28367767" w14:textId="03931E57" w:rsidR="00E27407" w:rsidRPr="00447C2F" w:rsidRDefault="00E27407" w:rsidP="00B5763D">
            <w:pPr>
              <w:spacing w:before="60" w:after="60"/>
              <w:rPr>
                <w:sz w:val="20"/>
              </w:rPr>
            </w:pPr>
            <w:hyperlink r:id="rId25" w:history="1">
              <w:r w:rsidRPr="00CC4364">
                <w:rPr>
                  <w:rStyle w:val="Hyperlink"/>
                  <w:sz w:val="20"/>
                </w:rPr>
                <w:t>Accountabilty Resource Guide</w:t>
              </w:r>
            </w:hyperlink>
            <w:r>
              <w:rPr>
                <w:sz w:val="20"/>
              </w:rPr>
              <w:t xml:space="preserve"> (Accountability Counsel)</w:t>
            </w:r>
          </w:p>
        </w:tc>
        <w:tc>
          <w:tcPr>
            <w:tcW w:w="11340" w:type="dxa"/>
            <w:tcBorders>
              <w:bottom w:val="single" w:sz="4" w:space="0" w:color="auto"/>
            </w:tcBorders>
          </w:tcPr>
          <w:p w14:paraId="3DFFA6C1" w14:textId="77777777" w:rsidR="00E27407" w:rsidRPr="00CC4364" w:rsidRDefault="00E27407" w:rsidP="007873F6">
            <w:pPr>
              <w:spacing w:before="60" w:after="60"/>
              <w:rPr>
                <w:sz w:val="20"/>
              </w:rPr>
            </w:pPr>
            <w:r w:rsidRPr="00CC4364">
              <w:rPr>
                <w:sz w:val="20"/>
              </w:rPr>
              <w:t>The purpose of this Guide is to provide information for people who are, or who may be,</w:t>
            </w:r>
            <w:r>
              <w:rPr>
                <w:sz w:val="20"/>
              </w:rPr>
              <w:t xml:space="preserve"> </w:t>
            </w:r>
            <w:r w:rsidRPr="00CC4364">
              <w:rPr>
                <w:sz w:val="20"/>
              </w:rPr>
              <w:t>harmed by projects sponsored by</w:t>
            </w:r>
            <w:r>
              <w:rPr>
                <w:sz w:val="20"/>
              </w:rPr>
              <w:t xml:space="preserve"> IFIs, </w:t>
            </w:r>
            <w:r w:rsidRPr="00CC4364">
              <w:rPr>
                <w:sz w:val="20"/>
              </w:rPr>
              <w:t>export promotion agencie</w:t>
            </w:r>
            <w:r>
              <w:rPr>
                <w:sz w:val="20"/>
              </w:rPr>
              <w:t xml:space="preserve">s and national development banks, and </w:t>
            </w:r>
            <w:r w:rsidRPr="00CC4364">
              <w:rPr>
                <w:sz w:val="20"/>
              </w:rPr>
              <w:t>private multinational corporations</w:t>
            </w:r>
            <w:r>
              <w:rPr>
                <w:sz w:val="20"/>
              </w:rPr>
              <w:t>.</w:t>
            </w:r>
          </w:p>
          <w:p w14:paraId="13AD07F8" w14:textId="77777777" w:rsidR="00E27407" w:rsidRPr="00CC4364" w:rsidRDefault="00E27407" w:rsidP="007873F6">
            <w:pPr>
              <w:spacing w:before="60" w:after="60"/>
              <w:rPr>
                <w:sz w:val="20"/>
              </w:rPr>
            </w:pPr>
            <w:r>
              <w:rPr>
                <w:sz w:val="20"/>
              </w:rPr>
              <w:t>Relevant for harms caused by extractive industries</w:t>
            </w:r>
            <w:r w:rsidRPr="00CC4364">
              <w:rPr>
                <w:sz w:val="20"/>
              </w:rPr>
              <w:t>, water privatization projects</w:t>
            </w:r>
            <w:r>
              <w:rPr>
                <w:sz w:val="20"/>
              </w:rPr>
              <w:t xml:space="preserve">, </w:t>
            </w:r>
            <w:r w:rsidRPr="00CC4364">
              <w:rPr>
                <w:sz w:val="20"/>
              </w:rPr>
              <w:t>and agricultural projects.</w:t>
            </w:r>
          </w:p>
          <w:p w14:paraId="4C8F6EE7" w14:textId="70175E01" w:rsidR="00E27407" w:rsidRPr="00B05A74" w:rsidRDefault="00E27407" w:rsidP="00B5763D">
            <w:pPr>
              <w:spacing w:before="60" w:after="60"/>
              <w:rPr>
                <w:rFonts w:ascii="Times" w:eastAsia="Times New Roman" w:hAnsi="Times"/>
                <w:sz w:val="20"/>
                <w:szCs w:val="20"/>
              </w:rPr>
            </w:pPr>
            <w:r>
              <w:rPr>
                <w:sz w:val="20"/>
              </w:rPr>
              <w:t xml:space="preserve">Audience / purpose: </w:t>
            </w:r>
            <w:r w:rsidRPr="00CC4364">
              <w:rPr>
                <w:sz w:val="20"/>
              </w:rPr>
              <w:t>This Guide is intended to assist community leaders, lawyers, and NGOs in determining what rights communities have and how they may access</w:t>
            </w:r>
            <w:r>
              <w:rPr>
                <w:sz w:val="20"/>
              </w:rPr>
              <w:t xml:space="preserve"> </w:t>
            </w:r>
            <w:r w:rsidRPr="00CC4364">
              <w:rPr>
                <w:sz w:val="20"/>
              </w:rPr>
              <w:t>accountability mechanisms when those rights have been or may be violated. These tools may be</w:t>
            </w:r>
            <w:r>
              <w:rPr>
                <w:sz w:val="20"/>
              </w:rPr>
              <w:t xml:space="preserve"> </w:t>
            </w:r>
            <w:r w:rsidRPr="00CC4364">
              <w:rPr>
                <w:sz w:val="20"/>
              </w:rPr>
              <w:t>used where a project has harmed communities or resources on which they depend or when there</w:t>
            </w:r>
            <w:r>
              <w:rPr>
                <w:sz w:val="20"/>
              </w:rPr>
              <w:t xml:space="preserve"> </w:t>
            </w:r>
            <w:r w:rsidRPr="00CC4364">
              <w:rPr>
                <w:sz w:val="20"/>
              </w:rPr>
              <w:t>is fear of harm in the future.</w:t>
            </w:r>
          </w:p>
        </w:tc>
      </w:tr>
      <w:tr w:rsidR="00E27407" w:rsidRPr="00447C2F" w14:paraId="48898FF9" w14:textId="77777777" w:rsidTr="00E27407">
        <w:trPr>
          <w:cantSplit/>
        </w:trPr>
        <w:tc>
          <w:tcPr>
            <w:tcW w:w="3656" w:type="dxa"/>
            <w:tcBorders>
              <w:bottom w:val="single" w:sz="4" w:space="0" w:color="auto"/>
            </w:tcBorders>
          </w:tcPr>
          <w:p w14:paraId="1750E10C" w14:textId="428F1F00" w:rsidR="00E27407" w:rsidRPr="00447C2F" w:rsidRDefault="00E27407" w:rsidP="00B5763D">
            <w:pPr>
              <w:spacing w:before="60" w:after="60"/>
              <w:rPr>
                <w:sz w:val="20"/>
              </w:rPr>
            </w:pPr>
            <w:r w:rsidRPr="00447C2F">
              <w:rPr>
                <w:sz w:val="20"/>
              </w:rPr>
              <w:t>International Accountability Project</w:t>
            </w:r>
            <w:r>
              <w:rPr>
                <w:sz w:val="20"/>
              </w:rPr>
              <w:t xml:space="preserve"> </w:t>
            </w:r>
            <w:r>
              <w:rPr>
                <w:b/>
                <w:i/>
                <w:sz w:val="20"/>
              </w:rPr>
              <w:t>(WIP)</w:t>
            </w:r>
          </w:p>
        </w:tc>
        <w:tc>
          <w:tcPr>
            <w:tcW w:w="11340" w:type="dxa"/>
            <w:tcBorders>
              <w:bottom w:val="single" w:sz="4" w:space="0" w:color="auto"/>
            </w:tcBorders>
          </w:tcPr>
          <w:p w14:paraId="07A509BC" w14:textId="77777777" w:rsidR="00E27407" w:rsidRDefault="00E27407" w:rsidP="007873F6">
            <w:pPr>
              <w:spacing w:before="60" w:after="60"/>
              <w:rPr>
                <w:sz w:val="20"/>
              </w:rPr>
            </w:pPr>
            <w:r>
              <w:rPr>
                <w:sz w:val="20"/>
              </w:rPr>
              <w:t xml:space="preserve">IAP are </w:t>
            </w:r>
            <w:r w:rsidRPr="00447C2F">
              <w:rPr>
                <w:sz w:val="20"/>
              </w:rPr>
              <w:t>developing a series of guide modules and related resources (including videos) about community advocacy concerning large development projects funded by international development banks (a more general/global version of IAP's great Asia-specific </w:t>
            </w:r>
            <w:hyperlink r:id="rId26" w:tgtFrame="_blank" w:history="1">
              <w:r w:rsidRPr="00447C2F">
                <w:rPr>
                  <w:rStyle w:val="Hyperlink"/>
                  <w:sz w:val="20"/>
                </w:rPr>
                <w:t>guide</w:t>
              </w:r>
            </w:hyperlink>
            <w:r w:rsidRPr="00447C2F">
              <w:rPr>
                <w:sz w:val="20"/>
              </w:rPr>
              <w:t>).</w:t>
            </w:r>
          </w:p>
          <w:p w14:paraId="2A944EEF" w14:textId="0433B486" w:rsidR="00E27407" w:rsidRPr="007873F6" w:rsidRDefault="00E27407" w:rsidP="007873F6">
            <w:pPr>
              <w:spacing w:before="60" w:after="60"/>
              <w:rPr>
                <w:sz w:val="20"/>
              </w:rPr>
            </w:pPr>
            <w:r>
              <w:rPr>
                <w:sz w:val="20"/>
              </w:rPr>
              <w:t xml:space="preserve">The Asia Specific Guide features </w:t>
            </w:r>
            <w:r w:rsidRPr="007873F6">
              <w:rPr>
                <w:sz w:val="20"/>
              </w:rPr>
              <w:t>introductions to human rights, development, and the ADB.</w:t>
            </w:r>
          </w:p>
          <w:p w14:paraId="4E7FFB71" w14:textId="77777777" w:rsidR="00E27407" w:rsidRDefault="00E27407" w:rsidP="007873F6">
            <w:pPr>
              <w:spacing w:before="60" w:after="60"/>
              <w:rPr>
                <w:sz w:val="20"/>
              </w:rPr>
            </w:pPr>
            <w:r w:rsidRPr="007873F6">
              <w:rPr>
                <w:sz w:val="20"/>
              </w:rPr>
              <w:t xml:space="preserve">Guidance re community action, including the following topics: </w:t>
            </w:r>
          </w:p>
          <w:p w14:paraId="435684B1" w14:textId="77777777" w:rsidR="00E27407" w:rsidRDefault="00E27407" w:rsidP="007873F6">
            <w:pPr>
              <w:pStyle w:val="ListParagraph"/>
              <w:numPr>
                <w:ilvl w:val="0"/>
                <w:numId w:val="4"/>
              </w:numPr>
              <w:spacing w:before="60" w:after="60"/>
              <w:rPr>
                <w:sz w:val="20"/>
              </w:rPr>
            </w:pPr>
            <w:r w:rsidRPr="007873F6">
              <w:rPr>
                <w:sz w:val="20"/>
              </w:rPr>
              <w:t xml:space="preserve">Organize in your community, </w:t>
            </w:r>
          </w:p>
          <w:p w14:paraId="0AB13E60" w14:textId="77777777" w:rsidR="00E27407" w:rsidRDefault="00E27407" w:rsidP="007873F6">
            <w:pPr>
              <w:pStyle w:val="ListParagraph"/>
              <w:numPr>
                <w:ilvl w:val="0"/>
                <w:numId w:val="4"/>
              </w:numPr>
              <w:spacing w:before="60" w:after="60"/>
              <w:rPr>
                <w:sz w:val="20"/>
              </w:rPr>
            </w:pPr>
            <w:r w:rsidRPr="007873F6">
              <w:rPr>
                <w:sz w:val="20"/>
              </w:rPr>
              <w:t xml:space="preserve">Build alliances, </w:t>
            </w:r>
          </w:p>
          <w:p w14:paraId="7B1F3A9F" w14:textId="77777777" w:rsidR="00E27407" w:rsidRDefault="00E27407" w:rsidP="007873F6">
            <w:pPr>
              <w:pStyle w:val="ListParagraph"/>
              <w:numPr>
                <w:ilvl w:val="0"/>
                <w:numId w:val="4"/>
              </w:numPr>
              <w:spacing w:before="60" w:after="60"/>
              <w:rPr>
                <w:sz w:val="20"/>
              </w:rPr>
            </w:pPr>
            <w:r w:rsidRPr="007873F6">
              <w:rPr>
                <w:sz w:val="20"/>
              </w:rPr>
              <w:t xml:space="preserve">Get legal support, </w:t>
            </w:r>
          </w:p>
          <w:p w14:paraId="6F65F906" w14:textId="77777777" w:rsidR="00E27407" w:rsidRDefault="00E27407" w:rsidP="007873F6">
            <w:pPr>
              <w:pStyle w:val="ListParagraph"/>
              <w:numPr>
                <w:ilvl w:val="0"/>
                <w:numId w:val="4"/>
              </w:numPr>
              <w:spacing w:before="60" w:after="60"/>
              <w:rPr>
                <w:sz w:val="20"/>
              </w:rPr>
            </w:pPr>
            <w:r w:rsidRPr="007873F6">
              <w:rPr>
                <w:sz w:val="20"/>
              </w:rPr>
              <w:t xml:space="preserve">Meet with ADB and government officials, </w:t>
            </w:r>
          </w:p>
          <w:p w14:paraId="0631905A" w14:textId="77777777" w:rsidR="00E27407" w:rsidRDefault="00E27407" w:rsidP="007873F6">
            <w:pPr>
              <w:pStyle w:val="ListParagraph"/>
              <w:numPr>
                <w:ilvl w:val="0"/>
                <w:numId w:val="4"/>
              </w:numPr>
              <w:spacing w:before="60" w:after="60"/>
              <w:rPr>
                <w:sz w:val="20"/>
              </w:rPr>
            </w:pPr>
            <w:r w:rsidRPr="007873F6">
              <w:rPr>
                <w:sz w:val="20"/>
              </w:rPr>
              <w:t xml:space="preserve">Do community-based research, </w:t>
            </w:r>
          </w:p>
          <w:p w14:paraId="3BEAFE68" w14:textId="77777777" w:rsidR="00E27407" w:rsidRDefault="00E27407" w:rsidP="007873F6">
            <w:pPr>
              <w:pStyle w:val="ListParagraph"/>
              <w:numPr>
                <w:ilvl w:val="0"/>
                <w:numId w:val="4"/>
              </w:numPr>
              <w:spacing w:before="60" w:after="60"/>
              <w:rPr>
                <w:sz w:val="20"/>
              </w:rPr>
            </w:pPr>
            <w:r w:rsidRPr="007873F6">
              <w:rPr>
                <w:sz w:val="20"/>
              </w:rPr>
              <w:t xml:space="preserve">Map your community and chart your resistance, </w:t>
            </w:r>
          </w:p>
          <w:p w14:paraId="35EC5E1A" w14:textId="77777777" w:rsidR="00E27407" w:rsidRDefault="00E27407" w:rsidP="007873F6">
            <w:pPr>
              <w:pStyle w:val="ListParagraph"/>
              <w:numPr>
                <w:ilvl w:val="0"/>
                <w:numId w:val="4"/>
              </w:numPr>
              <w:spacing w:before="60" w:after="60"/>
              <w:rPr>
                <w:sz w:val="20"/>
              </w:rPr>
            </w:pPr>
            <w:r w:rsidRPr="007873F6">
              <w:rPr>
                <w:sz w:val="20"/>
              </w:rPr>
              <w:t xml:space="preserve">Use Media, </w:t>
            </w:r>
          </w:p>
          <w:p w14:paraId="647AAA99" w14:textId="77777777" w:rsidR="00E27407" w:rsidRDefault="00E27407" w:rsidP="007873F6">
            <w:pPr>
              <w:pStyle w:val="ListParagraph"/>
              <w:numPr>
                <w:ilvl w:val="0"/>
                <w:numId w:val="4"/>
              </w:numPr>
              <w:spacing w:before="60" w:after="60"/>
              <w:rPr>
                <w:sz w:val="20"/>
              </w:rPr>
            </w:pPr>
            <w:r w:rsidRPr="007873F6">
              <w:rPr>
                <w:sz w:val="20"/>
              </w:rPr>
              <w:t xml:space="preserve">Hold creative demonstrations, </w:t>
            </w:r>
          </w:p>
          <w:p w14:paraId="14D65783" w14:textId="50EF99FB" w:rsidR="00E27407" w:rsidRPr="007873F6" w:rsidRDefault="00E27407" w:rsidP="007873F6">
            <w:pPr>
              <w:pStyle w:val="ListParagraph"/>
              <w:numPr>
                <w:ilvl w:val="0"/>
                <w:numId w:val="4"/>
              </w:numPr>
              <w:spacing w:before="60" w:after="60"/>
              <w:rPr>
                <w:sz w:val="20"/>
              </w:rPr>
            </w:pPr>
            <w:r w:rsidRPr="007873F6">
              <w:rPr>
                <w:sz w:val="20"/>
              </w:rPr>
              <w:t>Develop alternatives.</w:t>
            </w:r>
          </w:p>
        </w:tc>
      </w:tr>
      <w:tr w:rsidR="00E27407" w:rsidRPr="00447C2F" w14:paraId="20588D71" w14:textId="77777777" w:rsidTr="00E27407">
        <w:trPr>
          <w:cantSplit/>
        </w:trPr>
        <w:tc>
          <w:tcPr>
            <w:tcW w:w="3656" w:type="dxa"/>
            <w:tcBorders>
              <w:bottom w:val="single" w:sz="4" w:space="0" w:color="auto"/>
            </w:tcBorders>
          </w:tcPr>
          <w:p w14:paraId="2DAC894B" w14:textId="77777777" w:rsidR="00E27407" w:rsidRDefault="00E27407" w:rsidP="007F21E6">
            <w:pPr>
              <w:spacing w:before="60" w:after="60"/>
              <w:rPr>
                <w:rFonts w:ascii="Times" w:eastAsia="Times New Roman" w:hAnsi="Times"/>
                <w:sz w:val="20"/>
                <w:szCs w:val="20"/>
              </w:rPr>
            </w:pPr>
            <w:hyperlink r:id="rId27" w:history="1">
              <w:r w:rsidRPr="006F5DBE">
                <w:rPr>
                  <w:rStyle w:val="Hyperlink"/>
                  <w:rFonts w:ascii="Times" w:eastAsia="Times New Roman" w:hAnsi="Times"/>
                  <w:sz w:val="20"/>
                  <w:szCs w:val="20"/>
                </w:rPr>
                <w:t>Unpacking the ADB: A Guide to Understanding the Asian Development Bank</w:t>
              </w:r>
            </w:hyperlink>
          </w:p>
          <w:p w14:paraId="0BCAF906" w14:textId="4F1BCB4D" w:rsidR="00E27407" w:rsidRPr="00447C2F" w:rsidRDefault="00E27407" w:rsidP="00B5763D">
            <w:pPr>
              <w:spacing w:before="60" w:after="60"/>
              <w:rPr>
                <w:sz w:val="20"/>
              </w:rPr>
            </w:pPr>
            <w:r w:rsidRPr="006F5DBE">
              <w:rPr>
                <w:rFonts w:ascii="Times" w:eastAsia="Times New Roman" w:hAnsi="Times"/>
                <w:sz w:val="20"/>
                <w:szCs w:val="20"/>
              </w:rPr>
              <w:t>NGO Forum on ADB and Bank Information Center</w:t>
            </w:r>
          </w:p>
        </w:tc>
        <w:tc>
          <w:tcPr>
            <w:tcW w:w="11340" w:type="dxa"/>
            <w:tcBorders>
              <w:bottom w:val="single" w:sz="4" w:space="0" w:color="auto"/>
            </w:tcBorders>
          </w:tcPr>
          <w:p w14:paraId="04C017CD" w14:textId="785326A1" w:rsidR="00E27407" w:rsidRPr="00B05A74" w:rsidRDefault="00E27407" w:rsidP="00B5763D">
            <w:pPr>
              <w:spacing w:before="60" w:after="60"/>
              <w:rPr>
                <w:rFonts w:ascii="Times" w:eastAsia="Times New Roman" w:hAnsi="Times"/>
                <w:sz w:val="20"/>
                <w:szCs w:val="20"/>
              </w:rPr>
            </w:pPr>
            <w:r w:rsidRPr="006F5DBE">
              <w:rPr>
                <w:rFonts w:ascii="Times" w:eastAsia="Times New Roman" w:hAnsi="Times"/>
                <w:sz w:val="20"/>
                <w:szCs w:val="20"/>
              </w:rPr>
              <w:t>This guide is designed to help those unfamiliar with the ADB to gain an understanding of the institution, its projects and policies, and provide activists with important information regarding the ADB’s policies and opportunities for lobbying and advocacy.</w:t>
            </w:r>
          </w:p>
        </w:tc>
      </w:tr>
      <w:tr w:rsidR="00E27407" w:rsidRPr="00447C2F" w14:paraId="4B483291" w14:textId="77777777" w:rsidTr="00E27407">
        <w:trPr>
          <w:cantSplit/>
        </w:trPr>
        <w:tc>
          <w:tcPr>
            <w:tcW w:w="3656" w:type="dxa"/>
            <w:tcBorders>
              <w:bottom w:val="single" w:sz="4" w:space="0" w:color="auto"/>
            </w:tcBorders>
          </w:tcPr>
          <w:p w14:paraId="449CC51D" w14:textId="77777777" w:rsidR="00E27407" w:rsidRPr="006E6837" w:rsidRDefault="00E27407" w:rsidP="00927060">
            <w:pPr>
              <w:spacing w:before="60" w:after="60"/>
              <w:rPr>
                <w:sz w:val="20"/>
              </w:rPr>
            </w:pPr>
            <w:hyperlink r:id="rId28" w:history="1">
              <w:r w:rsidRPr="006E6837">
                <w:rPr>
                  <w:rStyle w:val="Hyperlink"/>
                  <w:iCs/>
                  <w:sz w:val="20"/>
                </w:rPr>
                <w:t>Follow the Money:  An Advocate’s Guide to Securing Accountability in Agricultural Investments</w:t>
              </w:r>
              <w:r w:rsidRPr="006E6837">
                <w:rPr>
                  <w:rStyle w:val="Hyperlink"/>
                  <w:sz w:val="20"/>
                </w:rPr>
                <w:t> </w:t>
              </w:r>
            </w:hyperlink>
            <w:r w:rsidRPr="006E6837">
              <w:rPr>
                <w:iCs/>
                <w:sz w:val="20"/>
              </w:rPr>
              <w:t> </w:t>
            </w:r>
          </w:p>
          <w:p w14:paraId="4D42C9F8" w14:textId="77777777" w:rsidR="00E27407" w:rsidRPr="00927060" w:rsidRDefault="00E27407" w:rsidP="00927060">
            <w:pPr>
              <w:spacing w:before="60" w:after="60"/>
              <w:rPr>
                <w:sz w:val="20"/>
              </w:rPr>
            </w:pPr>
            <w:r w:rsidRPr="00927060">
              <w:rPr>
                <w:sz w:val="20"/>
              </w:rPr>
              <w:t>Inclusive Development International</w:t>
            </w:r>
          </w:p>
          <w:p w14:paraId="15826056" w14:textId="0C6AF11C" w:rsidR="00E27407" w:rsidRPr="00447C2F" w:rsidRDefault="00E27407" w:rsidP="00BE4144">
            <w:pPr>
              <w:spacing w:before="60" w:after="60"/>
              <w:rPr>
                <w:sz w:val="20"/>
              </w:rPr>
            </w:pPr>
          </w:p>
        </w:tc>
        <w:tc>
          <w:tcPr>
            <w:tcW w:w="11340" w:type="dxa"/>
            <w:tcBorders>
              <w:bottom w:val="single" w:sz="4" w:space="0" w:color="auto"/>
            </w:tcBorders>
          </w:tcPr>
          <w:p w14:paraId="45B684F4" w14:textId="1C499CC5" w:rsidR="00E27407" w:rsidRPr="00B05A74" w:rsidRDefault="00E27407" w:rsidP="00B5763D">
            <w:pPr>
              <w:spacing w:before="60" w:after="60"/>
              <w:rPr>
                <w:rFonts w:ascii="Times" w:eastAsia="Times New Roman" w:hAnsi="Times"/>
                <w:sz w:val="20"/>
                <w:szCs w:val="20"/>
              </w:rPr>
            </w:pPr>
            <w:r w:rsidRPr="00927060">
              <w:rPr>
                <w:rFonts w:ascii="Times" w:eastAsia="Times New Roman" w:hAnsi="Times"/>
                <w:sz w:val="20"/>
                <w:szCs w:val="20"/>
              </w:rPr>
              <w:t>This guide provides practical guidance on strategies for identifying actors along agricultural investment chains and holding them accountable for land and human rights violations.</w:t>
            </w:r>
          </w:p>
        </w:tc>
      </w:tr>
      <w:tr w:rsidR="00E27407" w:rsidRPr="00447C2F" w14:paraId="49AFD167" w14:textId="77777777" w:rsidTr="00E27407">
        <w:trPr>
          <w:cantSplit/>
          <w:trHeight w:val="1349"/>
        </w:trPr>
        <w:tc>
          <w:tcPr>
            <w:tcW w:w="3656" w:type="dxa"/>
          </w:tcPr>
          <w:p w14:paraId="24B463D1" w14:textId="1DD43EBC" w:rsidR="00E27407" w:rsidRPr="006E6837" w:rsidRDefault="00E27407" w:rsidP="006E6837">
            <w:pPr>
              <w:spacing w:before="60" w:after="60"/>
              <w:rPr>
                <w:i/>
                <w:sz w:val="20"/>
              </w:rPr>
            </w:pPr>
            <w:hyperlink r:id="rId29" w:history="1">
              <w:r w:rsidRPr="006E6837">
                <w:rPr>
                  <w:rStyle w:val="Hyperlink"/>
                  <w:i/>
                  <w:iCs/>
                  <w:sz w:val="20"/>
                </w:rPr>
                <w:t>Human Rights &amp; Grievance Mechanisms</w:t>
              </w:r>
            </w:hyperlink>
          </w:p>
          <w:p w14:paraId="22388B2B" w14:textId="6BDE13B3" w:rsidR="00E27407" w:rsidRDefault="00E27407" w:rsidP="006E6837">
            <w:pPr>
              <w:spacing w:before="60" w:after="60"/>
              <w:rPr>
                <w:sz w:val="20"/>
              </w:rPr>
            </w:pPr>
            <w:r>
              <w:rPr>
                <w:sz w:val="20"/>
              </w:rPr>
              <w:t>And</w:t>
            </w:r>
          </w:p>
          <w:p w14:paraId="012F0F4B" w14:textId="77777777" w:rsidR="00E27407" w:rsidRDefault="00E27407" w:rsidP="006E6837">
            <w:pPr>
              <w:spacing w:before="60" w:after="60"/>
              <w:rPr>
                <w:sz w:val="20"/>
              </w:rPr>
            </w:pPr>
            <w:hyperlink r:id="rId30" w:history="1">
              <w:r w:rsidRPr="000B79CA">
                <w:rPr>
                  <w:rStyle w:val="Hyperlink"/>
                  <w:sz w:val="20"/>
                </w:rPr>
                <w:t>Step-By-Step Guide to Filing a Complaint with a Grievance Mechanism</w:t>
              </w:r>
            </w:hyperlink>
          </w:p>
          <w:p w14:paraId="3F8AD8EB" w14:textId="74AC3E18" w:rsidR="00E27407" w:rsidRPr="00447C2F" w:rsidRDefault="00E27407" w:rsidP="00E27407">
            <w:pPr>
              <w:spacing w:before="60" w:after="60"/>
              <w:rPr>
                <w:sz w:val="20"/>
              </w:rPr>
            </w:pPr>
            <w:r w:rsidRPr="006E6837">
              <w:rPr>
                <w:sz w:val="20"/>
              </w:rPr>
              <w:t>SOMO</w:t>
            </w:r>
          </w:p>
        </w:tc>
        <w:tc>
          <w:tcPr>
            <w:tcW w:w="11340" w:type="dxa"/>
          </w:tcPr>
          <w:p w14:paraId="5EB48E74" w14:textId="77777777" w:rsidR="00E27407" w:rsidRPr="006E6837" w:rsidRDefault="00E27407" w:rsidP="006E6837">
            <w:pPr>
              <w:rPr>
                <w:rFonts w:eastAsia="Times New Roman"/>
                <w:sz w:val="20"/>
                <w:szCs w:val="20"/>
              </w:rPr>
            </w:pPr>
            <w:r w:rsidRPr="006E6837">
              <w:rPr>
                <w:rFonts w:eastAsia="Times New Roman"/>
                <w:color w:val="111111"/>
                <w:sz w:val="20"/>
                <w:szCs w:val="20"/>
                <w:shd w:val="clear" w:color="auto" w:fill="FFFFFF"/>
              </w:rPr>
              <w:t>This website provides information and tools to file complaints against a company, business or multinational corporation in order to prevent, stop and seek justice for negative impacts caused by their business activities. Mechanisms covered include those of the African Development Bank, the World Bank and International Finance Corporation and the Asian Development Bank, regional human rights bodies, and the Organization for Economic Cooperation and Development (OECD)</w:t>
            </w:r>
          </w:p>
          <w:p w14:paraId="4CB07282" w14:textId="2711220D" w:rsidR="00E27407" w:rsidRPr="00B05A74" w:rsidRDefault="00E27407" w:rsidP="00B5763D">
            <w:pPr>
              <w:spacing w:before="60" w:after="60"/>
              <w:rPr>
                <w:rFonts w:ascii="Times" w:eastAsia="Times New Roman" w:hAnsi="Times"/>
                <w:sz w:val="20"/>
                <w:szCs w:val="20"/>
              </w:rPr>
            </w:pPr>
            <w:hyperlink r:id="rId31" w:history="1">
              <w:r w:rsidRPr="00892DDC">
                <w:rPr>
                  <w:rStyle w:val="Hyperlink"/>
                  <w:sz w:val="20"/>
                </w:rPr>
                <w:t>This guide</w:t>
              </w:r>
            </w:hyperlink>
            <w:r>
              <w:rPr>
                <w:sz w:val="20"/>
              </w:rPr>
              <w:t xml:space="preserve"> on the UNGPs has one page on engagement with the investor.</w:t>
            </w:r>
          </w:p>
        </w:tc>
      </w:tr>
      <w:tr w:rsidR="00E27407" w:rsidRPr="00447C2F" w14:paraId="57DB86B5" w14:textId="77777777" w:rsidTr="00E27407">
        <w:trPr>
          <w:cantSplit/>
        </w:trPr>
        <w:tc>
          <w:tcPr>
            <w:tcW w:w="3656" w:type="dxa"/>
          </w:tcPr>
          <w:p w14:paraId="5D44CA56" w14:textId="133525A8" w:rsidR="00E27407" w:rsidRPr="006E6837" w:rsidRDefault="00E27407" w:rsidP="006E6837">
            <w:pPr>
              <w:spacing w:before="60" w:after="60"/>
              <w:rPr>
                <w:i/>
                <w:sz w:val="20"/>
              </w:rPr>
            </w:pPr>
            <w:hyperlink r:id="rId32" w:history="1">
              <w:r w:rsidRPr="00414B44">
                <w:rPr>
                  <w:rStyle w:val="Hyperlink"/>
                  <w:b/>
                  <w:sz w:val="20"/>
                </w:rPr>
                <w:t>Contract Monitoring Roadmap</w:t>
              </w:r>
            </w:hyperlink>
            <w:r w:rsidRPr="00414B44">
              <w:rPr>
                <w:b/>
                <w:sz w:val="20"/>
              </w:rPr>
              <w:t xml:space="preserve"> (World Bank Institute / CCSI)</w:t>
            </w:r>
          </w:p>
        </w:tc>
        <w:tc>
          <w:tcPr>
            <w:tcW w:w="11340" w:type="dxa"/>
          </w:tcPr>
          <w:p w14:paraId="505CC66D" w14:textId="77777777" w:rsidR="00E27407" w:rsidRDefault="00E27407" w:rsidP="00F32805">
            <w:pPr>
              <w:spacing w:before="60" w:after="60"/>
              <w:rPr>
                <w:sz w:val="20"/>
              </w:rPr>
            </w:pPr>
            <w:r>
              <w:rPr>
                <w:sz w:val="20"/>
              </w:rPr>
              <w:t>Online tool to assist governments and other stakeholder monitor investor-state contracts. Contents:</w:t>
            </w:r>
          </w:p>
          <w:p w14:paraId="12352395" w14:textId="77777777" w:rsidR="00E27407" w:rsidRPr="001B39B1" w:rsidRDefault="00E27407" w:rsidP="00F32805">
            <w:pPr>
              <w:spacing w:before="60" w:after="60"/>
              <w:rPr>
                <w:sz w:val="20"/>
              </w:rPr>
            </w:pPr>
            <w:r w:rsidRPr="001B39B1">
              <w:rPr>
                <w:sz w:val="20"/>
              </w:rPr>
              <w:t>1 &gt; Deciding what to monitor</w:t>
            </w:r>
          </w:p>
          <w:p w14:paraId="1BA2D8C2" w14:textId="77777777" w:rsidR="00E27407" w:rsidRPr="001B39B1" w:rsidRDefault="00E27407" w:rsidP="00F32805">
            <w:pPr>
              <w:spacing w:before="60" w:after="60"/>
              <w:rPr>
                <w:sz w:val="20"/>
              </w:rPr>
            </w:pPr>
            <w:r w:rsidRPr="001B39B1">
              <w:rPr>
                <w:sz w:val="20"/>
              </w:rPr>
              <w:t>2 &gt; Relevant documents for contract monitoring</w:t>
            </w:r>
          </w:p>
          <w:p w14:paraId="516244D8" w14:textId="77777777" w:rsidR="00E27407" w:rsidRPr="001B39B1" w:rsidRDefault="00E27407" w:rsidP="00F32805">
            <w:pPr>
              <w:spacing w:before="60" w:after="60"/>
              <w:rPr>
                <w:sz w:val="20"/>
              </w:rPr>
            </w:pPr>
            <w:r w:rsidRPr="001B39B1">
              <w:rPr>
                <w:sz w:val="20"/>
              </w:rPr>
              <w:t>3 &gt; Getting access to a contract and other relevant documents</w:t>
            </w:r>
          </w:p>
          <w:p w14:paraId="41F7FF6A" w14:textId="77777777" w:rsidR="00E27407" w:rsidRPr="001B39B1" w:rsidRDefault="00E27407" w:rsidP="00F32805">
            <w:pPr>
              <w:spacing w:before="60" w:after="60"/>
              <w:rPr>
                <w:sz w:val="20"/>
              </w:rPr>
            </w:pPr>
            <w:r w:rsidRPr="001B39B1">
              <w:rPr>
                <w:sz w:val="20"/>
              </w:rPr>
              <w:t>4 &gt; Understanding what’s in a contract and other documentation</w:t>
            </w:r>
          </w:p>
          <w:p w14:paraId="620E6364" w14:textId="77777777" w:rsidR="00E27407" w:rsidRPr="001B39B1" w:rsidRDefault="00E27407" w:rsidP="00F32805">
            <w:pPr>
              <w:spacing w:before="60" w:after="60"/>
              <w:rPr>
                <w:sz w:val="20"/>
              </w:rPr>
            </w:pPr>
            <w:r w:rsidRPr="001B39B1">
              <w:rPr>
                <w:sz w:val="20"/>
              </w:rPr>
              <w:t>5 &gt; Who monitors?</w:t>
            </w:r>
          </w:p>
          <w:p w14:paraId="5D07E405" w14:textId="77777777" w:rsidR="00E27407" w:rsidRPr="001B39B1" w:rsidRDefault="00E27407" w:rsidP="00F32805">
            <w:pPr>
              <w:spacing w:before="60" w:after="60"/>
              <w:rPr>
                <w:sz w:val="20"/>
              </w:rPr>
            </w:pPr>
            <w:r w:rsidRPr="001B39B1">
              <w:rPr>
                <w:sz w:val="20"/>
              </w:rPr>
              <w:t>6 &gt; Monitoring obligations, how can it be done?</w:t>
            </w:r>
          </w:p>
          <w:p w14:paraId="12C374DA" w14:textId="77777777" w:rsidR="00E27407" w:rsidRPr="001B39B1" w:rsidRDefault="00E27407" w:rsidP="00F32805">
            <w:pPr>
              <w:spacing w:before="60" w:after="60"/>
              <w:rPr>
                <w:sz w:val="20"/>
              </w:rPr>
            </w:pPr>
            <w:r w:rsidRPr="001B39B1">
              <w:rPr>
                <w:sz w:val="20"/>
              </w:rPr>
              <w:t>7 &gt; Participatory monitoring systems</w:t>
            </w:r>
          </w:p>
          <w:p w14:paraId="3313406D" w14:textId="6F668B49" w:rsidR="00E27407" w:rsidRPr="006E6837" w:rsidRDefault="00E27407" w:rsidP="006E6837">
            <w:pPr>
              <w:rPr>
                <w:rFonts w:eastAsia="Times New Roman"/>
                <w:color w:val="111111"/>
                <w:sz w:val="20"/>
                <w:szCs w:val="20"/>
                <w:shd w:val="clear" w:color="auto" w:fill="FFFFFF"/>
              </w:rPr>
            </w:pPr>
            <w:r w:rsidRPr="001B39B1">
              <w:rPr>
                <w:sz w:val="20"/>
              </w:rPr>
              <w:t>8 &gt; Analyzing the data collected</w:t>
            </w:r>
          </w:p>
        </w:tc>
      </w:tr>
      <w:tr w:rsidR="00E27407" w:rsidRPr="00447C2F" w14:paraId="41F2CA42" w14:textId="77777777" w:rsidTr="00E27407">
        <w:trPr>
          <w:cantSplit/>
        </w:trPr>
        <w:tc>
          <w:tcPr>
            <w:tcW w:w="3656" w:type="dxa"/>
          </w:tcPr>
          <w:p w14:paraId="1B50B42D" w14:textId="5171FB0E" w:rsidR="00E27407" w:rsidRPr="00DB0895" w:rsidRDefault="00E27407" w:rsidP="006E6837">
            <w:pPr>
              <w:spacing w:before="60" w:after="60"/>
              <w:rPr>
                <w:b/>
                <w:sz w:val="20"/>
              </w:rPr>
            </w:pPr>
            <w:r w:rsidRPr="00DB0895">
              <w:rPr>
                <w:b/>
                <w:sz w:val="20"/>
              </w:rPr>
              <w:t>Ciaran O’Faircheallaigh research on implementation of CDAs</w:t>
            </w:r>
          </w:p>
        </w:tc>
        <w:tc>
          <w:tcPr>
            <w:tcW w:w="11340" w:type="dxa"/>
          </w:tcPr>
          <w:p w14:paraId="7B6AAEDF" w14:textId="0B6D2D73" w:rsidR="00E27407" w:rsidRDefault="00E27407" w:rsidP="00023EF2">
            <w:pPr>
              <w:spacing w:before="60" w:after="60"/>
              <w:rPr>
                <w:sz w:val="20"/>
              </w:rPr>
            </w:pPr>
            <w:r>
              <w:rPr>
                <w:sz w:val="20"/>
              </w:rPr>
              <w:t xml:space="preserve">Professor O’Faircheallaigh has written extensively on, and helped to negotiate, CDAs for decades. He recently mentioned his research will continue to explore implementation of CDAs. One 2003 article touches on implementation and monitoring: </w:t>
            </w:r>
            <w:r w:rsidRPr="00DB0895">
              <w:rPr>
                <w:sz w:val="20"/>
              </w:rPr>
              <w:t>https://www.griffith.edu.au/business-government/griffith-business-school/pdf/research-paper-2003-implementing-agreements.pdf</w:t>
            </w:r>
          </w:p>
          <w:p w14:paraId="021CEA95" w14:textId="46C399F2" w:rsidR="00E27407" w:rsidRDefault="00E27407" w:rsidP="00023EF2">
            <w:pPr>
              <w:spacing w:before="60" w:after="60"/>
              <w:rPr>
                <w:sz w:val="20"/>
              </w:rPr>
            </w:pPr>
            <w:r>
              <w:rPr>
                <w:sz w:val="20"/>
              </w:rPr>
              <w:t>The IBA Toolkit, which he co-authored, contains a few paragraphs on clauses needed to facilitate the monitoring of such contracts (p.184)</w:t>
            </w:r>
          </w:p>
        </w:tc>
      </w:tr>
      <w:tr w:rsidR="00E27407" w:rsidRPr="00447C2F" w14:paraId="7B94103F" w14:textId="77777777" w:rsidTr="00E27407">
        <w:trPr>
          <w:cantSplit/>
        </w:trPr>
        <w:tc>
          <w:tcPr>
            <w:tcW w:w="3656" w:type="dxa"/>
          </w:tcPr>
          <w:p w14:paraId="064B4755" w14:textId="0023A71A" w:rsidR="00E27407" w:rsidRPr="00126C20" w:rsidRDefault="00E27407" w:rsidP="00126C20">
            <w:pPr>
              <w:rPr>
                <w:rFonts w:ascii="Times" w:eastAsia="Times New Roman" w:hAnsi="Times"/>
                <w:b/>
                <w:sz w:val="20"/>
                <w:szCs w:val="20"/>
              </w:rPr>
            </w:pPr>
            <w:hyperlink r:id="rId33" w:history="1">
              <w:r w:rsidRPr="00126C20">
                <w:rPr>
                  <w:rStyle w:val="Hyperlink"/>
                  <w:rFonts w:ascii="Times" w:eastAsia="Times New Roman" w:hAnsi="Times"/>
                  <w:b/>
                  <w:sz w:val="20"/>
                  <w:szCs w:val="20"/>
                </w:rPr>
                <w:t>Community-Driven Operational Grievance Mechanisms</w:t>
              </w:r>
            </w:hyperlink>
          </w:p>
          <w:p w14:paraId="1FB15A4B" w14:textId="10FC3750" w:rsidR="00E27407" w:rsidRPr="00126C20" w:rsidRDefault="00E27407" w:rsidP="006E6837">
            <w:pPr>
              <w:spacing w:before="60" w:after="60"/>
              <w:rPr>
                <w:b/>
                <w:sz w:val="22"/>
              </w:rPr>
            </w:pPr>
            <w:r w:rsidRPr="00126C20">
              <w:rPr>
                <w:b/>
                <w:sz w:val="22"/>
              </w:rPr>
              <w:t>(ERI and SOMO)</w:t>
            </w:r>
          </w:p>
        </w:tc>
        <w:tc>
          <w:tcPr>
            <w:tcW w:w="11340" w:type="dxa"/>
          </w:tcPr>
          <w:p w14:paraId="6C2F501D" w14:textId="77777777" w:rsidR="00E27407" w:rsidRPr="00126C20" w:rsidRDefault="00E27407" w:rsidP="00126C20">
            <w:pPr>
              <w:rPr>
                <w:rFonts w:ascii="Times" w:eastAsia="Times New Roman" w:hAnsi="Times"/>
                <w:sz w:val="20"/>
                <w:szCs w:val="20"/>
              </w:rPr>
            </w:pPr>
            <w:r w:rsidRPr="00126C20">
              <w:rPr>
                <w:rFonts w:ascii="Times" w:eastAsia="Times New Roman" w:hAnsi="Times"/>
                <w:sz w:val="20"/>
                <w:szCs w:val="20"/>
              </w:rPr>
              <w:t>EarthRights International (ERI), with the cooperation of SOMO, is developing a model for operational-level grievance mechanisms to address corporate human rights abuses that will be designed and driven primarily by communities. This paper is an introduction to the concept of the community-driven grievance mechanism and is intended to serve as the basis for expert discussion and input.</w:t>
            </w:r>
          </w:p>
          <w:p w14:paraId="71E1A4BE" w14:textId="77777777" w:rsidR="00E27407" w:rsidRDefault="00E27407" w:rsidP="00023EF2">
            <w:pPr>
              <w:spacing w:before="60" w:after="60"/>
              <w:rPr>
                <w:sz w:val="20"/>
              </w:rPr>
            </w:pPr>
          </w:p>
        </w:tc>
      </w:tr>
      <w:tr w:rsidR="00E27407" w:rsidRPr="00447C2F" w14:paraId="2075BB93" w14:textId="77777777" w:rsidTr="00E27407">
        <w:trPr>
          <w:cantSplit/>
        </w:trPr>
        <w:tc>
          <w:tcPr>
            <w:tcW w:w="3656" w:type="dxa"/>
          </w:tcPr>
          <w:p w14:paraId="5816D152" w14:textId="1E9ACF6F" w:rsidR="00E27407" w:rsidRDefault="00E27407" w:rsidP="00126C20">
            <w:pPr>
              <w:rPr>
                <w:rFonts w:ascii="Times" w:eastAsia="Times New Roman" w:hAnsi="Times"/>
                <w:b/>
                <w:sz w:val="20"/>
                <w:szCs w:val="20"/>
              </w:rPr>
            </w:pPr>
            <w:hyperlink r:id="rId34" w:history="1">
              <w:r w:rsidRPr="000733A2">
                <w:rPr>
                  <w:rStyle w:val="Hyperlink"/>
                  <w:rFonts w:ascii="Times" w:eastAsia="Times New Roman" w:hAnsi="Times"/>
                  <w:b/>
                  <w:sz w:val="20"/>
                  <w:szCs w:val="20"/>
                </w:rPr>
                <w:t>A Guide to Community-Based Monitoring for Northern Communities</w:t>
              </w:r>
            </w:hyperlink>
          </w:p>
          <w:p w14:paraId="4149E77B" w14:textId="77777777" w:rsidR="00E27407" w:rsidRPr="001413D6" w:rsidRDefault="00E27407" w:rsidP="001413D6">
            <w:pPr>
              <w:rPr>
                <w:rFonts w:ascii="Times" w:eastAsia="Times New Roman" w:hAnsi="Times"/>
                <w:b/>
                <w:sz w:val="20"/>
                <w:szCs w:val="20"/>
              </w:rPr>
            </w:pPr>
            <w:r>
              <w:rPr>
                <w:rFonts w:ascii="Times" w:eastAsia="Times New Roman" w:hAnsi="Times"/>
                <w:b/>
                <w:sz w:val="20"/>
                <w:szCs w:val="20"/>
              </w:rPr>
              <w:t>(</w:t>
            </w:r>
            <w:r w:rsidRPr="001413D6">
              <w:rPr>
                <w:rFonts w:ascii="Times" w:eastAsia="Times New Roman" w:hAnsi="Times"/>
                <w:b/>
                <w:sz w:val="20"/>
                <w:szCs w:val="20"/>
              </w:rPr>
              <w:t>Brenda Parlee</w:t>
            </w:r>
          </w:p>
          <w:p w14:paraId="0BDF11F2" w14:textId="45B3EDDE" w:rsidR="00E27407" w:rsidRDefault="00E27407" w:rsidP="00126C20">
            <w:pPr>
              <w:rPr>
                <w:rFonts w:ascii="Times" w:eastAsia="Times New Roman" w:hAnsi="Times"/>
                <w:b/>
                <w:sz w:val="20"/>
                <w:szCs w:val="20"/>
              </w:rPr>
            </w:pPr>
            <w:r>
              <w:rPr>
                <w:rFonts w:ascii="Times" w:eastAsia="Times New Roman" w:hAnsi="Times"/>
                <w:b/>
                <w:sz w:val="20"/>
                <w:szCs w:val="20"/>
              </w:rPr>
              <w:t>/ Canadian Arctic Resources Committee)</w:t>
            </w:r>
          </w:p>
        </w:tc>
        <w:tc>
          <w:tcPr>
            <w:tcW w:w="11340" w:type="dxa"/>
          </w:tcPr>
          <w:p w14:paraId="5923F8C0" w14:textId="77777777" w:rsidR="00E27407" w:rsidRPr="00746C13" w:rsidRDefault="00E27407" w:rsidP="00746C13">
            <w:pPr>
              <w:rPr>
                <w:rFonts w:ascii="Times" w:eastAsia="Times New Roman" w:hAnsi="Times"/>
                <w:sz w:val="20"/>
                <w:szCs w:val="20"/>
              </w:rPr>
            </w:pPr>
            <w:r w:rsidRPr="00746C13">
              <w:rPr>
                <w:rFonts w:ascii="Times" w:eastAsia="Times New Roman" w:hAnsi="Times"/>
                <w:sz w:val="20"/>
                <w:szCs w:val="20"/>
              </w:rPr>
              <w:t>The guide is written specifically for you, the community researcher, and a local committee interested in developing and carrying out a monitoring program. By following along with this step-by-step guide you, the community researcher, will be able to develop a monitoring process that is appropriate and useful in your own community.</w:t>
            </w:r>
          </w:p>
          <w:p w14:paraId="07C0194E" w14:textId="77777777" w:rsidR="00E27407" w:rsidRPr="00126C20" w:rsidRDefault="00E27407" w:rsidP="00126C20">
            <w:pPr>
              <w:rPr>
                <w:rFonts w:ascii="Times" w:eastAsia="Times New Roman" w:hAnsi="Times"/>
                <w:sz w:val="20"/>
                <w:szCs w:val="20"/>
              </w:rPr>
            </w:pPr>
          </w:p>
        </w:tc>
      </w:tr>
      <w:tr w:rsidR="00E27407" w:rsidRPr="00447C2F" w14:paraId="42D7B259" w14:textId="77777777" w:rsidTr="00E27407">
        <w:trPr>
          <w:cantSplit/>
        </w:trPr>
        <w:tc>
          <w:tcPr>
            <w:tcW w:w="3656" w:type="dxa"/>
          </w:tcPr>
          <w:p w14:paraId="61BA7BAE" w14:textId="77777777" w:rsidR="00E27407" w:rsidRPr="00414B44" w:rsidRDefault="00E27407" w:rsidP="005625FE">
            <w:pPr>
              <w:rPr>
                <w:rFonts w:ascii="Times" w:eastAsia="Times New Roman" w:hAnsi="Times"/>
                <w:b/>
                <w:sz w:val="20"/>
                <w:szCs w:val="20"/>
              </w:rPr>
            </w:pPr>
            <w:hyperlink r:id="rId35" w:history="1">
              <w:r w:rsidRPr="00414B44">
                <w:rPr>
                  <w:rStyle w:val="Hyperlink"/>
                  <w:rFonts w:ascii="Times" w:eastAsia="Times New Roman" w:hAnsi="Times"/>
                  <w:b/>
                  <w:sz w:val="20"/>
                  <w:szCs w:val="20"/>
                </w:rPr>
                <w:t>Protecting Your</w:t>
              </w:r>
            </w:hyperlink>
            <w:r w:rsidRPr="00414B44">
              <w:rPr>
                <w:rFonts w:ascii="Times" w:eastAsia="Times New Roman" w:hAnsi="Times"/>
                <w:b/>
                <w:sz w:val="20"/>
                <w:szCs w:val="20"/>
              </w:rPr>
              <w:t xml:space="preserve"> </w:t>
            </w:r>
            <w:hyperlink r:id="rId36" w:history="1">
              <w:r w:rsidRPr="00414B44">
                <w:rPr>
                  <w:rStyle w:val="Hyperlink"/>
                  <w:rFonts w:ascii="Times" w:eastAsia="Times New Roman" w:hAnsi="Times"/>
                  <w:b/>
                  <w:sz w:val="20"/>
                  <w:szCs w:val="20"/>
                </w:rPr>
                <w:t>Community Against Mining Companies and Other Extractive Industries A Guide for Community Organizers</w:t>
              </w:r>
            </w:hyperlink>
          </w:p>
          <w:p w14:paraId="752003F1" w14:textId="4A27B2D4" w:rsidR="00E27407" w:rsidRDefault="00E27407" w:rsidP="00126C20">
            <w:pPr>
              <w:rPr>
                <w:rFonts w:ascii="Times" w:eastAsia="Times New Roman" w:hAnsi="Times"/>
                <w:b/>
                <w:sz w:val="20"/>
                <w:szCs w:val="20"/>
              </w:rPr>
            </w:pPr>
            <w:r w:rsidRPr="00414B44">
              <w:rPr>
                <w:rFonts w:eastAsia="Times New Roman"/>
                <w:b/>
                <w:color w:val="404040"/>
                <w:sz w:val="20"/>
                <w:szCs w:val="20"/>
              </w:rPr>
              <w:t>(Global Response / Carlos Zorilla)</w:t>
            </w:r>
          </w:p>
        </w:tc>
        <w:tc>
          <w:tcPr>
            <w:tcW w:w="11340" w:type="dxa"/>
          </w:tcPr>
          <w:p w14:paraId="70044914" w14:textId="77777777" w:rsidR="00E27407" w:rsidRPr="00F17CCE" w:rsidRDefault="00E27407" w:rsidP="005625FE">
            <w:pPr>
              <w:rPr>
                <w:rFonts w:ascii="Times" w:eastAsia="Times New Roman" w:hAnsi="Times"/>
                <w:sz w:val="20"/>
                <w:szCs w:val="20"/>
              </w:rPr>
            </w:pPr>
            <w:r w:rsidRPr="00F17CCE">
              <w:rPr>
                <w:rFonts w:ascii="Times" w:eastAsia="Times New Roman" w:hAnsi="Times"/>
                <w:sz w:val="20"/>
                <w:szCs w:val="20"/>
              </w:rPr>
              <w:t>This guide describes aspects of the mining process, the dangers you and your community face when mining companies seek to operate in your community, and the many ways you can fight back. It is intended for use by regional/national leaders who can work with local community leaders to plan local actions, and who can also do work at the governmental, national, and international levels.</w:t>
            </w:r>
          </w:p>
          <w:p w14:paraId="68443C3E" w14:textId="77777777" w:rsidR="00E27407" w:rsidRPr="00746C13" w:rsidRDefault="00E27407" w:rsidP="00746C13">
            <w:pPr>
              <w:rPr>
                <w:rFonts w:ascii="Times" w:eastAsia="Times New Roman" w:hAnsi="Times"/>
                <w:sz w:val="20"/>
                <w:szCs w:val="20"/>
              </w:rPr>
            </w:pPr>
          </w:p>
        </w:tc>
      </w:tr>
      <w:tr w:rsidR="00E27407" w:rsidRPr="00447C2F" w14:paraId="63EA12AF" w14:textId="77777777" w:rsidTr="00E27407">
        <w:trPr>
          <w:cantSplit/>
          <w:trHeight w:val="989"/>
        </w:trPr>
        <w:tc>
          <w:tcPr>
            <w:tcW w:w="3656" w:type="dxa"/>
          </w:tcPr>
          <w:p w14:paraId="39D30D9D" w14:textId="77777777" w:rsidR="00E27407" w:rsidRDefault="00E27407" w:rsidP="005625FE">
            <w:pPr>
              <w:rPr>
                <w:rFonts w:ascii="Times" w:eastAsia="Times New Roman" w:hAnsi="Times"/>
                <w:b/>
                <w:sz w:val="20"/>
                <w:szCs w:val="20"/>
              </w:rPr>
            </w:pPr>
            <w:hyperlink r:id="rId37" w:history="1">
              <w:r w:rsidRPr="005625FE">
                <w:rPr>
                  <w:rStyle w:val="Hyperlink"/>
                  <w:rFonts w:ascii="Times" w:eastAsia="Times New Roman" w:hAnsi="Times"/>
                  <w:b/>
                  <w:sz w:val="20"/>
                  <w:szCs w:val="20"/>
                </w:rPr>
                <w:t>Sleeping on our own mats: an introduction to community-based monitoring and evaluation</w:t>
              </w:r>
            </w:hyperlink>
            <w:r>
              <w:rPr>
                <w:rFonts w:ascii="Times" w:eastAsia="Times New Roman" w:hAnsi="Times"/>
                <w:b/>
                <w:sz w:val="20"/>
                <w:szCs w:val="20"/>
              </w:rPr>
              <w:t xml:space="preserve"> </w:t>
            </w:r>
          </w:p>
          <w:p w14:paraId="5934685A" w14:textId="77777777" w:rsidR="00E27407" w:rsidRDefault="00E27407" w:rsidP="005625FE">
            <w:pPr>
              <w:rPr>
                <w:rFonts w:ascii="Times" w:eastAsia="Times New Roman" w:hAnsi="Times"/>
                <w:b/>
                <w:sz w:val="20"/>
                <w:szCs w:val="20"/>
              </w:rPr>
            </w:pPr>
            <w:r w:rsidRPr="005625FE">
              <w:rPr>
                <w:rFonts w:ascii="Times" w:eastAsia="Times New Roman" w:hAnsi="Times"/>
                <w:b/>
                <w:sz w:val="20"/>
                <w:szCs w:val="20"/>
              </w:rPr>
              <w:t>(World Bank)</w:t>
            </w:r>
          </w:p>
          <w:p w14:paraId="2173BE91" w14:textId="70BE1347" w:rsidR="00E27407" w:rsidRDefault="00E27407" w:rsidP="005625FE"/>
        </w:tc>
        <w:tc>
          <w:tcPr>
            <w:tcW w:w="11340" w:type="dxa"/>
          </w:tcPr>
          <w:p w14:paraId="70627DAA" w14:textId="7211C9C2" w:rsidR="00E27407" w:rsidRPr="00F17CCE" w:rsidRDefault="00E27407" w:rsidP="005625FE">
            <w:pPr>
              <w:rPr>
                <w:rFonts w:ascii="Times" w:eastAsia="Times New Roman" w:hAnsi="Times"/>
                <w:sz w:val="20"/>
                <w:szCs w:val="20"/>
              </w:rPr>
            </w:pPr>
            <w:r>
              <w:rPr>
                <w:rFonts w:ascii="Times" w:eastAsia="Times New Roman" w:hAnsi="Times"/>
                <w:sz w:val="20"/>
                <w:szCs w:val="20"/>
              </w:rPr>
              <w:t>Based on case studies and research in 18 villges in Niger, Benin, and Cameroon.</w:t>
            </w:r>
          </w:p>
        </w:tc>
      </w:tr>
      <w:tr w:rsidR="00E27407" w:rsidRPr="00447C2F" w14:paraId="4D974A71" w14:textId="77777777" w:rsidTr="00E27407">
        <w:trPr>
          <w:cantSplit/>
        </w:trPr>
        <w:tc>
          <w:tcPr>
            <w:tcW w:w="3656" w:type="dxa"/>
          </w:tcPr>
          <w:p w14:paraId="596A8583" w14:textId="59C205BA" w:rsidR="00E27407" w:rsidRDefault="00E27407" w:rsidP="005625FE">
            <w:pPr>
              <w:spacing w:before="60" w:after="60"/>
              <w:rPr>
                <w:sz w:val="20"/>
                <w:szCs w:val="20"/>
              </w:rPr>
            </w:pPr>
            <w:r w:rsidRPr="0010491F">
              <w:rPr>
                <w:sz w:val="20"/>
                <w:szCs w:val="20"/>
              </w:rPr>
              <w:t>Mining &amp; Communities: Supporting human rights-based development in the context of industrial mining in Guinea (</w:t>
            </w:r>
            <w:hyperlink r:id="rId38" w:history="1">
              <w:r w:rsidRPr="0010491F">
                <w:rPr>
                  <w:rStyle w:val="Hyperlink"/>
                  <w:sz w:val="20"/>
                  <w:szCs w:val="20"/>
                </w:rPr>
                <w:t>French</w:t>
              </w:r>
            </w:hyperlink>
            <w:r w:rsidRPr="0010491F">
              <w:rPr>
                <w:sz w:val="20"/>
                <w:szCs w:val="20"/>
              </w:rPr>
              <w:t xml:space="preserve"> / </w:t>
            </w:r>
            <w:hyperlink r:id="rId39" w:history="1">
              <w:r w:rsidRPr="0010491F">
                <w:rPr>
                  <w:rStyle w:val="Hyperlink"/>
                  <w:sz w:val="20"/>
                  <w:szCs w:val="20"/>
                </w:rPr>
                <w:t>abridged English</w:t>
              </w:r>
            </w:hyperlink>
            <w:r w:rsidRPr="0010491F">
              <w:rPr>
                <w:sz w:val="20"/>
                <w:szCs w:val="20"/>
              </w:rPr>
              <w:t xml:space="preserve">) </w:t>
            </w:r>
          </w:p>
          <w:p w14:paraId="6690D019" w14:textId="77777777" w:rsidR="00E27407" w:rsidRPr="0010491F" w:rsidRDefault="00E27407" w:rsidP="005625FE">
            <w:pPr>
              <w:spacing w:before="60" w:after="60"/>
              <w:rPr>
                <w:sz w:val="20"/>
                <w:szCs w:val="20"/>
              </w:rPr>
            </w:pPr>
            <w:r w:rsidRPr="0010491F">
              <w:rPr>
                <w:sz w:val="20"/>
                <w:szCs w:val="20"/>
              </w:rPr>
              <w:t>(ABA Rule of Law Initiative)</w:t>
            </w:r>
          </w:p>
        </w:tc>
        <w:tc>
          <w:tcPr>
            <w:tcW w:w="11340" w:type="dxa"/>
          </w:tcPr>
          <w:p w14:paraId="5C8C434B" w14:textId="77777777" w:rsidR="00E27407" w:rsidRPr="0010491F" w:rsidRDefault="00E27407" w:rsidP="005625FE">
            <w:pPr>
              <w:spacing w:before="60" w:after="60"/>
              <w:rPr>
                <w:sz w:val="20"/>
              </w:rPr>
            </w:pPr>
            <w:r w:rsidRPr="0010491F">
              <w:rPr>
                <w:sz w:val="20"/>
              </w:rPr>
              <w:t>Written in a question-and-answer format with dialogues among local people, the combined reference manual and interactive curriculum addresses:</w:t>
            </w:r>
          </w:p>
          <w:p w14:paraId="0BFE89E3" w14:textId="77777777" w:rsidR="00E27407" w:rsidRPr="0010491F" w:rsidRDefault="00E27407" w:rsidP="005625FE">
            <w:pPr>
              <w:numPr>
                <w:ilvl w:val="0"/>
                <w:numId w:val="12"/>
              </w:numPr>
              <w:tabs>
                <w:tab w:val="num" w:pos="720"/>
              </w:tabs>
              <w:spacing w:before="60" w:after="60"/>
              <w:rPr>
                <w:sz w:val="20"/>
              </w:rPr>
            </w:pPr>
            <w:r w:rsidRPr="0010491F">
              <w:rPr>
                <w:sz w:val="20"/>
              </w:rPr>
              <w:t>In Module 1, the mine life cycle, the changes it brings, how to participate in an impact assessment and monitor the</w:t>
            </w:r>
            <w:r>
              <w:rPr>
                <w:sz w:val="20"/>
              </w:rPr>
              <w:t xml:space="preserve"> </w:t>
            </w:r>
            <w:r w:rsidRPr="0010491F">
              <w:rPr>
                <w:sz w:val="20"/>
              </w:rPr>
              <w:t>management plan;</w:t>
            </w:r>
          </w:p>
          <w:p w14:paraId="3EFC83AF" w14:textId="77777777" w:rsidR="00E27407" w:rsidRPr="0010491F" w:rsidRDefault="00E27407" w:rsidP="005625FE">
            <w:pPr>
              <w:numPr>
                <w:ilvl w:val="0"/>
                <w:numId w:val="12"/>
              </w:numPr>
              <w:tabs>
                <w:tab w:val="num" w:pos="720"/>
              </w:tabs>
              <w:spacing w:before="60" w:after="60"/>
              <w:rPr>
                <w:sz w:val="20"/>
              </w:rPr>
            </w:pPr>
            <w:r w:rsidRPr="0010491F">
              <w:rPr>
                <w:sz w:val="20"/>
              </w:rPr>
              <w:t>In Module 2, the rule of law, human rights and the roles and responsibilities of each actor;</w:t>
            </w:r>
          </w:p>
          <w:p w14:paraId="7854AF95" w14:textId="77777777" w:rsidR="00E27407" w:rsidRPr="0010491F" w:rsidRDefault="00E27407" w:rsidP="005625FE">
            <w:pPr>
              <w:numPr>
                <w:ilvl w:val="0"/>
                <w:numId w:val="12"/>
              </w:numPr>
              <w:tabs>
                <w:tab w:val="num" w:pos="720"/>
              </w:tabs>
              <w:spacing w:before="60" w:after="60"/>
              <w:rPr>
                <w:sz w:val="20"/>
              </w:rPr>
            </w:pPr>
            <w:r w:rsidRPr="0010491F">
              <w:rPr>
                <w:sz w:val="20"/>
              </w:rPr>
              <w:t>In Module 3, conflict and violence prevention and tools supporting improved communication, negotiation and community cohesion, including consultation or community protocols and participatory land use planning;</w:t>
            </w:r>
          </w:p>
          <w:p w14:paraId="63E0CD41" w14:textId="77777777" w:rsidR="00E27407" w:rsidRPr="0010491F" w:rsidRDefault="00E27407" w:rsidP="005625FE">
            <w:pPr>
              <w:numPr>
                <w:ilvl w:val="0"/>
                <w:numId w:val="12"/>
              </w:numPr>
              <w:tabs>
                <w:tab w:val="num" w:pos="720"/>
              </w:tabs>
              <w:spacing w:before="60" w:after="60"/>
              <w:rPr>
                <w:sz w:val="20"/>
              </w:rPr>
            </w:pPr>
            <w:r w:rsidRPr="0010491F">
              <w:rPr>
                <w:sz w:val="20"/>
              </w:rPr>
              <w:t>In Module 4, the possible benefits of mining, and tools to capture mining’s benefits, including local content strategies, community development agreements, and local financial management;</w:t>
            </w:r>
          </w:p>
          <w:p w14:paraId="422F26A2" w14:textId="77777777" w:rsidR="00E27407" w:rsidRPr="0010491F" w:rsidRDefault="00E27407" w:rsidP="005625FE">
            <w:pPr>
              <w:numPr>
                <w:ilvl w:val="0"/>
                <w:numId w:val="12"/>
              </w:numPr>
              <w:tabs>
                <w:tab w:val="num" w:pos="720"/>
              </w:tabs>
              <w:spacing w:before="60" w:after="60"/>
              <w:rPr>
                <w:sz w:val="20"/>
              </w:rPr>
            </w:pPr>
            <w:r w:rsidRPr="0010491F">
              <w:rPr>
                <w:sz w:val="20"/>
              </w:rPr>
              <w:t>In Module 5, ways to address and minimize impacts on land (compensation mechanisms, and resettlement), environment and cultural sites;</w:t>
            </w:r>
          </w:p>
          <w:p w14:paraId="25E9DD89" w14:textId="77777777" w:rsidR="00E27407" w:rsidRPr="0010491F" w:rsidRDefault="00E27407" w:rsidP="005625FE">
            <w:pPr>
              <w:numPr>
                <w:ilvl w:val="0"/>
                <w:numId w:val="12"/>
              </w:numPr>
              <w:tabs>
                <w:tab w:val="num" w:pos="720"/>
              </w:tabs>
              <w:spacing w:before="60" w:after="60"/>
              <w:rPr>
                <w:sz w:val="20"/>
              </w:rPr>
            </w:pPr>
            <w:r w:rsidRPr="0010491F">
              <w:rPr>
                <w:sz w:val="20"/>
              </w:rPr>
              <w:t>In Module 6, what people can do locally to voice their concerns; how to document and monitor (including baseline studies, community-controlled impact assessments, joint participatory monitoring) and options for access to remedy locally, nationally, regionally and internationally.</w:t>
            </w:r>
          </w:p>
          <w:p w14:paraId="17E48B97" w14:textId="77777777" w:rsidR="00E27407" w:rsidRDefault="00E27407" w:rsidP="005625FE">
            <w:pPr>
              <w:spacing w:before="60" w:after="60"/>
              <w:rPr>
                <w:sz w:val="20"/>
              </w:rPr>
            </w:pPr>
          </w:p>
        </w:tc>
      </w:tr>
      <w:tr w:rsidR="00E27407" w:rsidRPr="00447C2F" w14:paraId="766EBC90" w14:textId="77777777" w:rsidTr="00E27407">
        <w:trPr>
          <w:cantSplit/>
          <w:trHeight w:val="1937"/>
        </w:trPr>
        <w:tc>
          <w:tcPr>
            <w:tcW w:w="3656" w:type="dxa"/>
          </w:tcPr>
          <w:p w14:paraId="4091F6C4" w14:textId="443D0D48" w:rsidR="00E27407" w:rsidRDefault="00E27407" w:rsidP="00E27407">
            <w:pPr>
              <w:rPr>
                <w:rFonts w:ascii="Times" w:eastAsia="Times New Roman" w:hAnsi="Times"/>
                <w:b/>
                <w:sz w:val="20"/>
                <w:szCs w:val="20"/>
              </w:rPr>
            </w:pPr>
            <w:hyperlink r:id="rId40" w:history="1">
              <w:r w:rsidRPr="00AA0B01">
                <w:rPr>
                  <w:rStyle w:val="Hyperlink"/>
                  <w:sz w:val="20"/>
                </w:rPr>
                <w:t>Respecting Free, Prior, and Informed Consent: Practical guidance for governments, companies, NGOs, indigenous peoples and local communities in relation to land acquisition</w:t>
              </w:r>
            </w:hyperlink>
            <w:r>
              <w:rPr>
                <w:sz w:val="20"/>
              </w:rPr>
              <w:br/>
              <w:t>(FAO)</w:t>
            </w:r>
          </w:p>
        </w:tc>
        <w:tc>
          <w:tcPr>
            <w:tcW w:w="11340" w:type="dxa"/>
          </w:tcPr>
          <w:p w14:paraId="1AEFC5BE" w14:textId="77777777" w:rsidR="00E27407" w:rsidRDefault="00E27407" w:rsidP="00592872">
            <w:pPr>
              <w:rPr>
                <w:sz w:val="20"/>
              </w:rPr>
            </w:pPr>
            <w:r>
              <w:rPr>
                <w:sz w:val="20"/>
              </w:rPr>
              <w:t xml:space="preserve">(Very brief) sections on </w:t>
            </w:r>
          </w:p>
          <w:p w14:paraId="59F7FDDB" w14:textId="77777777" w:rsidR="00E27407" w:rsidRPr="00644E1E" w:rsidRDefault="00E27407" w:rsidP="00592872">
            <w:pPr>
              <w:numPr>
                <w:ilvl w:val="0"/>
                <w:numId w:val="12"/>
              </w:numPr>
              <w:tabs>
                <w:tab w:val="num" w:pos="720"/>
              </w:tabs>
              <w:spacing w:before="60" w:after="60"/>
              <w:rPr>
                <w:sz w:val="20"/>
              </w:rPr>
            </w:pPr>
            <w:r w:rsidRPr="00644E1E">
              <w:rPr>
                <w:sz w:val="20"/>
              </w:rPr>
              <w:t xml:space="preserve">Monitoring and verifying agreements </w:t>
            </w:r>
          </w:p>
          <w:p w14:paraId="19D292D4" w14:textId="77777777" w:rsidR="00E27407" w:rsidRPr="00644E1E" w:rsidRDefault="00E27407" w:rsidP="00592872">
            <w:pPr>
              <w:numPr>
                <w:ilvl w:val="0"/>
                <w:numId w:val="12"/>
              </w:numPr>
              <w:tabs>
                <w:tab w:val="num" w:pos="720"/>
              </w:tabs>
              <w:spacing w:before="60" w:after="60"/>
              <w:rPr>
                <w:sz w:val="20"/>
              </w:rPr>
            </w:pPr>
            <w:r w:rsidRPr="00644E1E">
              <w:rPr>
                <w:sz w:val="20"/>
              </w:rPr>
              <w:t>Establishing a grievance process</w:t>
            </w:r>
          </w:p>
          <w:p w14:paraId="3AB48B5B" w14:textId="77777777" w:rsidR="00E27407" w:rsidRDefault="00E27407" w:rsidP="005625FE">
            <w:pPr>
              <w:rPr>
                <w:rFonts w:ascii="Times" w:eastAsia="Times New Roman" w:hAnsi="Times"/>
                <w:sz w:val="20"/>
                <w:szCs w:val="20"/>
              </w:rPr>
            </w:pPr>
          </w:p>
        </w:tc>
      </w:tr>
      <w:tr w:rsidR="00E27407" w:rsidRPr="00447C2F" w14:paraId="199721F1" w14:textId="77777777" w:rsidTr="00E27407">
        <w:trPr>
          <w:cantSplit/>
          <w:trHeight w:val="547"/>
        </w:trPr>
        <w:tc>
          <w:tcPr>
            <w:tcW w:w="3656" w:type="dxa"/>
          </w:tcPr>
          <w:p w14:paraId="67E61957" w14:textId="6F466A17" w:rsidR="00E27407" w:rsidRPr="00EC6CA3" w:rsidRDefault="00E27407" w:rsidP="005625FE">
            <w:pPr>
              <w:rPr>
                <w:sz w:val="20"/>
                <w:szCs w:val="20"/>
              </w:rPr>
            </w:pPr>
            <w:hyperlink r:id="rId41" w:history="1">
              <w:r w:rsidRPr="00EC6CA3">
                <w:rPr>
                  <w:rStyle w:val="Hyperlink"/>
                  <w:sz w:val="20"/>
                  <w:szCs w:val="20"/>
                </w:rPr>
                <w:t>Governing large-scale farmland investments in sub-Saharan Africa</w:t>
              </w:r>
            </w:hyperlink>
            <w:r w:rsidRPr="00EC6CA3">
              <w:rPr>
                <w:sz w:val="20"/>
                <w:szCs w:val="20"/>
              </w:rPr>
              <w:t xml:space="preserve"> (CIFOR)</w:t>
            </w:r>
          </w:p>
        </w:tc>
        <w:tc>
          <w:tcPr>
            <w:tcW w:w="11340" w:type="dxa"/>
          </w:tcPr>
          <w:p w14:paraId="78CD6DA0" w14:textId="77777777" w:rsidR="00E27407" w:rsidRPr="004B0F36" w:rsidRDefault="00E27407" w:rsidP="00FA1417">
            <w:pPr>
              <w:spacing w:before="60" w:after="60"/>
              <w:rPr>
                <w:sz w:val="20"/>
                <w:szCs w:val="20"/>
              </w:rPr>
            </w:pPr>
            <w:r w:rsidRPr="00EC6CA3">
              <w:rPr>
                <w:sz w:val="20"/>
                <w:szCs w:val="20"/>
              </w:rPr>
              <w:t>Explores largely negative local outcomes of agricultural development programs in sub-Saharan Africa in order to identify regulatory, institutional, social and economic factors shaping outcomes. Discusse</w:t>
            </w:r>
            <w:r w:rsidRPr="004B0F36">
              <w:rPr>
                <w:sz w:val="20"/>
                <w:szCs w:val="20"/>
              </w:rPr>
              <w:t>s:</w:t>
            </w:r>
          </w:p>
          <w:p w14:paraId="7BF39619" w14:textId="77777777" w:rsidR="00E27407" w:rsidRPr="004B0F36" w:rsidRDefault="00E27407" w:rsidP="00FA1417">
            <w:pPr>
              <w:pStyle w:val="ListParagraph"/>
              <w:numPr>
                <w:ilvl w:val="0"/>
                <w:numId w:val="18"/>
              </w:numPr>
              <w:spacing w:before="60" w:after="60"/>
              <w:rPr>
                <w:sz w:val="20"/>
                <w:szCs w:val="20"/>
              </w:rPr>
            </w:pPr>
            <w:r w:rsidRPr="004B0F36">
              <w:rPr>
                <w:sz w:val="20"/>
                <w:szCs w:val="20"/>
              </w:rPr>
              <w:t>Lack of remediation to mitigate or alleviate negative impacts of loss of livelihoods</w:t>
            </w:r>
          </w:p>
          <w:p w14:paraId="597318EB" w14:textId="77777777" w:rsidR="00E27407" w:rsidRPr="00F71F4E" w:rsidRDefault="00E27407" w:rsidP="00922822">
            <w:pPr>
              <w:pStyle w:val="ListParagraph"/>
              <w:numPr>
                <w:ilvl w:val="0"/>
                <w:numId w:val="18"/>
              </w:numPr>
              <w:spacing w:before="60" w:after="60"/>
              <w:rPr>
                <w:sz w:val="20"/>
                <w:szCs w:val="20"/>
              </w:rPr>
            </w:pPr>
            <w:r w:rsidRPr="00F71F4E">
              <w:rPr>
                <w:sz w:val="20"/>
                <w:szCs w:val="20"/>
              </w:rPr>
              <w:t>Failure of chiefs to negotiate agreements relevant to constituencies</w:t>
            </w:r>
          </w:p>
          <w:p w14:paraId="4F59DFDF" w14:textId="77777777" w:rsidR="00E27407" w:rsidRPr="00F71F4E" w:rsidRDefault="00E27407" w:rsidP="00922822">
            <w:pPr>
              <w:pStyle w:val="ListParagraph"/>
              <w:numPr>
                <w:ilvl w:val="0"/>
                <w:numId w:val="18"/>
              </w:numPr>
              <w:spacing w:before="60" w:after="60"/>
              <w:rPr>
                <w:sz w:val="20"/>
                <w:szCs w:val="20"/>
              </w:rPr>
            </w:pPr>
            <w:r w:rsidRPr="00F71F4E">
              <w:rPr>
                <w:sz w:val="20"/>
                <w:szCs w:val="20"/>
              </w:rPr>
              <w:t>Limited contestation of rights infringement</w:t>
            </w:r>
          </w:p>
          <w:p w14:paraId="7B60F694" w14:textId="77777777" w:rsidR="00E27407" w:rsidRPr="00F71F4E" w:rsidRDefault="00E27407" w:rsidP="00922822">
            <w:pPr>
              <w:pStyle w:val="ListParagraph"/>
              <w:numPr>
                <w:ilvl w:val="0"/>
                <w:numId w:val="18"/>
              </w:numPr>
              <w:spacing w:before="60" w:after="60"/>
              <w:rPr>
                <w:sz w:val="20"/>
                <w:szCs w:val="20"/>
              </w:rPr>
            </w:pPr>
            <w:r w:rsidRPr="00F71F4E">
              <w:rPr>
                <w:sz w:val="20"/>
                <w:szCs w:val="20"/>
              </w:rPr>
              <w:t xml:space="preserve">Lack of accountability for companies </w:t>
            </w:r>
          </w:p>
          <w:p w14:paraId="01670676" w14:textId="461741B4" w:rsidR="00E27407" w:rsidRPr="00F71F4E" w:rsidRDefault="00E27407" w:rsidP="00922822">
            <w:pPr>
              <w:pStyle w:val="ListParagraph"/>
              <w:numPr>
                <w:ilvl w:val="0"/>
                <w:numId w:val="18"/>
              </w:numPr>
              <w:spacing w:before="60" w:after="60"/>
              <w:rPr>
                <w:sz w:val="20"/>
                <w:szCs w:val="20"/>
              </w:rPr>
            </w:pPr>
            <w:r w:rsidRPr="00F71F4E">
              <w:rPr>
                <w:sz w:val="20"/>
                <w:szCs w:val="20"/>
              </w:rPr>
              <w:t xml:space="preserve">FPIC, institutional reform etc. </w:t>
            </w:r>
          </w:p>
        </w:tc>
      </w:tr>
      <w:tr w:rsidR="00E27407" w:rsidRPr="00447C2F" w14:paraId="34A17686" w14:textId="77777777" w:rsidTr="00E27407">
        <w:trPr>
          <w:cantSplit/>
          <w:trHeight w:val="547"/>
        </w:trPr>
        <w:tc>
          <w:tcPr>
            <w:tcW w:w="3656" w:type="dxa"/>
            <w:tcBorders>
              <w:bottom w:val="single" w:sz="4" w:space="0" w:color="auto"/>
            </w:tcBorders>
          </w:tcPr>
          <w:p w14:paraId="707B1A97" w14:textId="06EF6FD3" w:rsidR="00E27407" w:rsidRPr="00EC6CA3" w:rsidRDefault="00E27407" w:rsidP="005625FE">
            <w:pPr>
              <w:rPr>
                <w:sz w:val="20"/>
                <w:szCs w:val="20"/>
              </w:rPr>
            </w:pPr>
            <w:hyperlink r:id="rId42" w:history="1">
              <w:r w:rsidRPr="00EC6CA3">
                <w:rPr>
                  <w:rStyle w:val="Hyperlink"/>
                  <w:sz w:val="20"/>
                  <w:szCs w:val="20"/>
                </w:rPr>
                <w:t>Ground Truthing: A note on methodology</w:t>
              </w:r>
            </w:hyperlink>
          </w:p>
        </w:tc>
        <w:tc>
          <w:tcPr>
            <w:tcW w:w="11340" w:type="dxa"/>
            <w:tcBorders>
              <w:bottom w:val="single" w:sz="4" w:space="0" w:color="auto"/>
            </w:tcBorders>
          </w:tcPr>
          <w:p w14:paraId="3DB8130F" w14:textId="3C6479AD" w:rsidR="00E27407" w:rsidRPr="004B0F36" w:rsidRDefault="00E27407" w:rsidP="00922822">
            <w:pPr>
              <w:spacing w:before="60" w:after="60"/>
              <w:rPr>
                <w:sz w:val="20"/>
                <w:szCs w:val="20"/>
              </w:rPr>
            </w:pPr>
            <w:r w:rsidRPr="00EC6CA3">
              <w:rPr>
                <w:sz w:val="20"/>
                <w:szCs w:val="20"/>
              </w:rPr>
              <w:t>A brief document on Namati’s ‘Ground</w:t>
            </w:r>
            <w:r>
              <w:rPr>
                <w:sz w:val="20"/>
                <w:szCs w:val="20"/>
              </w:rPr>
              <w:t xml:space="preserve"> T</w:t>
            </w:r>
            <w:r w:rsidRPr="00EC6CA3">
              <w:rPr>
                <w:sz w:val="20"/>
                <w:szCs w:val="20"/>
              </w:rPr>
              <w:t>ruthing</w:t>
            </w:r>
            <w:r w:rsidRPr="00FB2189">
              <w:rPr>
                <w:sz w:val="20"/>
                <w:szCs w:val="20"/>
              </w:rPr>
              <w:t xml:space="preserve">’ methodology, which involves physical verification of </w:t>
            </w:r>
            <w:r w:rsidRPr="004B0F36">
              <w:rPr>
                <w:sz w:val="20"/>
                <w:szCs w:val="20"/>
              </w:rPr>
              <w:t>“statements made on paper” which can include obligations in community-investor contracts or investor-state contracts.</w:t>
            </w:r>
          </w:p>
        </w:tc>
      </w:tr>
    </w:tbl>
    <w:p w14:paraId="7C0461F5" w14:textId="62D9F5C2" w:rsidR="00414B44" w:rsidRPr="00DD7EB0" w:rsidRDefault="00414B44">
      <w:pPr>
        <w:rPr>
          <w:rFonts w:ascii="Times" w:eastAsia="Times New Roman" w:hAnsi="Times"/>
          <w:sz w:val="20"/>
          <w:szCs w:val="20"/>
        </w:rPr>
      </w:pPr>
      <w:r w:rsidRPr="004422FE">
        <w:br w:type="column"/>
      </w:r>
      <w:r w:rsidRPr="004422FE">
        <w:rPr>
          <w:b/>
          <w:bCs/>
        </w:rPr>
        <w:lastRenderedPageBreak/>
        <w:t>3. Model clauses for: (1) Terms of engagement for negotiation; and (2) actual community-investor contracts.</w:t>
      </w:r>
      <w:r w:rsidRPr="00627BC3">
        <w:t> </w:t>
      </w:r>
    </w:p>
    <w:p w14:paraId="3406763B" w14:textId="77777777" w:rsidR="00414B44" w:rsidRDefault="00414B44"/>
    <w:tbl>
      <w:tblPr>
        <w:tblStyle w:val="TableGrid"/>
        <w:tblW w:w="14906" w:type="dxa"/>
        <w:tblInd w:w="-601" w:type="dxa"/>
        <w:tblLayout w:type="fixed"/>
        <w:tblLook w:val="04A0" w:firstRow="1" w:lastRow="0" w:firstColumn="1" w:lastColumn="0" w:noHBand="0" w:noVBand="1"/>
      </w:tblPr>
      <w:tblGrid>
        <w:gridCol w:w="3656"/>
        <w:gridCol w:w="11250"/>
      </w:tblGrid>
      <w:tr w:rsidR="00E27407" w:rsidRPr="00447C2F" w14:paraId="4C9FAFA8" w14:textId="77777777" w:rsidTr="00E27407">
        <w:tc>
          <w:tcPr>
            <w:tcW w:w="3656" w:type="dxa"/>
            <w:tcBorders>
              <w:bottom w:val="single" w:sz="4" w:space="0" w:color="auto"/>
            </w:tcBorders>
          </w:tcPr>
          <w:p w14:paraId="26C81717" w14:textId="6C45501F" w:rsidR="00E27407" w:rsidRPr="00447C2F" w:rsidRDefault="00E27407" w:rsidP="00B5763D">
            <w:pPr>
              <w:spacing w:before="60" w:after="60"/>
              <w:rPr>
                <w:sz w:val="20"/>
              </w:rPr>
            </w:pPr>
            <w:hyperlink r:id="rId43" w:history="1">
              <w:r w:rsidRPr="00A65FA0">
                <w:rPr>
                  <w:rStyle w:val="Hyperlink"/>
                  <w:sz w:val="20"/>
                </w:rPr>
                <w:t>IBA Community Toolkit</w:t>
              </w:r>
            </w:hyperlink>
            <w:r>
              <w:rPr>
                <w:sz w:val="20"/>
              </w:rPr>
              <w:t xml:space="preserve"> (Ginger Gibson and </w:t>
            </w:r>
            <w:r w:rsidRPr="00C83B12">
              <w:rPr>
                <w:sz w:val="20"/>
              </w:rPr>
              <w:t>Ciaran O’Faircheallaigh</w:t>
            </w:r>
            <w:r>
              <w:rPr>
                <w:sz w:val="20"/>
              </w:rPr>
              <w:t>)</w:t>
            </w:r>
          </w:p>
        </w:tc>
        <w:tc>
          <w:tcPr>
            <w:tcW w:w="11250" w:type="dxa"/>
            <w:tcBorders>
              <w:bottom w:val="single" w:sz="4" w:space="0" w:color="auto"/>
            </w:tcBorders>
          </w:tcPr>
          <w:p w14:paraId="652A9955" w14:textId="28BC4EBD" w:rsidR="00E27407" w:rsidRPr="00B05A74" w:rsidRDefault="00E27407" w:rsidP="00E46E43">
            <w:pPr>
              <w:spacing w:before="60" w:after="60"/>
              <w:rPr>
                <w:rFonts w:ascii="Times" w:eastAsia="Times New Roman" w:hAnsi="Times"/>
                <w:sz w:val="20"/>
                <w:szCs w:val="20"/>
              </w:rPr>
            </w:pPr>
            <w:r>
              <w:rPr>
                <w:rFonts w:ascii="Times" w:eastAsia="Times New Roman" w:hAnsi="Times"/>
                <w:sz w:val="20"/>
                <w:szCs w:val="20"/>
              </w:rPr>
              <w:t xml:space="preserve">Contains one page on “exploration” agreements and one page on MOUs. </w:t>
            </w:r>
          </w:p>
        </w:tc>
      </w:tr>
      <w:tr w:rsidR="00E27407" w:rsidRPr="00447C2F" w14:paraId="78930E34" w14:textId="77777777" w:rsidTr="00E27407">
        <w:tc>
          <w:tcPr>
            <w:tcW w:w="3656" w:type="dxa"/>
          </w:tcPr>
          <w:p w14:paraId="73DAE1B6" w14:textId="0B85B0C5" w:rsidR="00E27407" w:rsidRPr="00447C2F" w:rsidRDefault="00E27407" w:rsidP="00B5763D">
            <w:pPr>
              <w:spacing w:before="60" w:after="60"/>
              <w:rPr>
                <w:sz w:val="20"/>
              </w:rPr>
            </w:pPr>
            <w:hyperlink r:id="rId44" w:history="1">
              <w:r w:rsidRPr="00F87E61">
                <w:rPr>
                  <w:rStyle w:val="Hyperlink"/>
                  <w:sz w:val="20"/>
                </w:rPr>
                <w:t>Community Development Agreement: Model Regulations &amp; Example Guidelines</w:t>
              </w:r>
            </w:hyperlink>
            <w:r>
              <w:rPr>
                <w:sz w:val="20"/>
              </w:rPr>
              <w:t xml:space="preserve"> (World Bank / Jim Otto)</w:t>
            </w:r>
          </w:p>
        </w:tc>
        <w:tc>
          <w:tcPr>
            <w:tcW w:w="11250" w:type="dxa"/>
          </w:tcPr>
          <w:p w14:paraId="2F11FC81" w14:textId="77FD0624" w:rsidR="00E27407" w:rsidRPr="00B05A74" w:rsidRDefault="00E27407" w:rsidP="00E46E43">
            <w:pPr>
              <w:spacing w:before="60" w:after="60"/>
              <w:rPr>
                <w:rFonts w:ascii="Times" w:eastAsia="Times New Roman" w:hAnsi="Times"/>
                <w:sz w:val="20"/>
                <w:szCs w:val="20"/>
              </w:rPr>
            </w:pPr>
            <w:r>
              <w:rPr>
                <w:sz w:val="20"/>
              </w:rPr>
              <w:t>Model regulations for how countries can require companies to negotiate CDAs.</w:t>
            </w:r>
          </w:p>
        </w:tc>
      </w:tr>
      <w:tr w:rsidR="00E27407" w:rsidRPr="00447C2F" w14:paraId="64AEDB72" w14:textId="77777777" w:rsidTr="00E27407">
        <w:trPr>
          <w:trHeight w:val="1126"/>
        </w:trPr>
        <w:tc>
          <w:tcPr>
            <w:tcW w:w="3656" w:type="dxa"/>
          </w:tcPr>
          <w:p w14:paraId="050CBB0B" w14:textId="09A79281" w:rsidR="00E27407" w:rsidRDefault="00E27407" w:rsidP="00B5763D">
            <w:pPr>
              <w:spacing w:before="60" w:after="60"/>
            </w:pPr>
            <w:hyperlink r:id="rId45" w:history="1">
              <w:r w:rsidRPr="00825B6E">
                <w:rPr>
                  <w:rStyle w:val="Hyperlink"/>
                  <w:sz w:val="20"/>
                </w:rPr>
                <w:t>Guide to Negotiating Investment Contracts for Farmland and Water</w:t>
              </w:r>
            </w:hyperlink>
            <w:r>
              <w:rPr>
                <w:sz w:val="20"/>
              </w:rPr>
              <w:t xml:space="preserve"> (IISD)</w:t>
            </w:r>
          </w:p>
        </w:tc>
        <w:tc>
          <w:tcPr>
            <w:tcW w:w="11250" w:type="dxa"/>
          </w:tcPr>
          <w:p w14:paraId="54705728" w14:textId="46D7B804" w:rsidR="00E27407" w:rsidRDefault="00E27407" w:rsidP="00E46E43">
            <w:pPr>
              <w:spacing w:before="60" w:after="60"/>
              <w:rPr>
                <w:sz w:val="20"/>
              </w:rPr>
            </w:pPr>
            <w:r w:rsidRPr="00825B6E">
              <w:rPr>
                <w:sz w:val="20"/>
              </w:rPr>
              <w:t>The IISD Guide to Negotiating Investment Contracts for Farmland and Water is a legal and policy tool for governments and</w:t>
            </w:r>
            <w:r>
              <w:rPr>
                <w:sz w:val="20"/>
              </w:rPr>
              <w:t xml:space="preserve"> </w:t>
            </w:r>
            <w:r w:rsidRPr="00825B6E">
              <w:rPr>
                <w:sz w:val="20"/>
              </w:rPr>
              <w:t>communities that are involved in negotiating investment contracts with foreign investors. The guide focuses on a particular</w:t>
            </w:r>
            <w:r>
              <w:rPr>
                <w:sz w:val="20"/>
              </w:rPr>
              <w:t xml:space="preserve"> </w:t>
            </w:r>
            <w:r w:rsidRPr="00825B6E">
              <w:rPr>
                <w:sz w:val="20"/>
              </w:rPr>
              <w:t>type of contract involving long-term leases of farmland. Part I, Preparing for Negotiations, is designed to assist in the</w:t>
            </w:r>
            <w:r>
              <w:rPr>
                <w:sz w:val="20"/>
              </w:rPr>
              <w:t xml:space="preserve"> </w:t>
            </w:r>
            <w:r w:rsidRPr="00825B6E">
              <w:rPr>
                <w:sz w:val="20"/>
              </w:rPr>
              <w:t>preparatory phase. Part 2, Model Contract, is structured like an investment contract for the lease of farmland and proposes</w:t>
            </w:r>
            <w:r>
              <w:rPr>
                <w:sz w:val="20"/>
              </w:rPr>
              <w:t xml:space="preserve"> </w:t>
            </w:r>
            <w:r w:rsidRPr="00825B6E">
              <w:rPr>
                <w:sz w:val="20"/>
              </w:rPr>
              <w:t>model provisions.</w:t>
            </w:r>
          </w:p>
        </w:tc>
      </w:tr>
      <w:tr w:rsidR="00E27407" w:rsidRPr="00447C2F" w14:paraId="22DD440C" w14:textId="77777777" w:rsidTr="00E27407">
        <w:trPr>
          <w:trHeight w:val="962"/>
        </w:trPr>
        <w:tc>
          <w:tcPr>
            <w:tcW w:w="3656" w:type="dxa"/>
          </w:tcPr>
          <w:p w14:paraId="5B312E44" w14:textId="6A726DA8" w:rsidR="00E27407" w:rsidRPr="00C5579A" w:rsidRDefault="00E27407" w:rsidP="00B5763D">
            <w:pPr>
              <w:spacing w:before="60" w:after="60"/>
              <w:rPr>
                <w:sz w:val="20"/>
                <w:szCs w:val="20"/>
              </w:rPr>
            </w:pPr>
            <w:hyperlink r:id="rId46" w:history="1">
              <w:r w:rsidRPr="00C5579A">
                <w:rPr>
                  <w:rStyle w:val="Hyperlink"/>
                  <w:sz w:val="20"/>
                  <w:szCs w:val="20"/>
                </w:rPr>
                <w:t>Agreements between Mining Companies and Indigenous Communities</w:t>
              </w:r>
            </w:hyperlink>
            <w:r w:rsidRPr="00C5579A">
              <w:rPr>
                <w:sz w:val="20"/>
                <w:szCs w:val="20"/>
              </w:rPr>
              <w:t xml:space="preserve"> (Indigenous Support Services)</w:t>
            </w:r>
          </w:p>
        </w:tc>
        <w:tc>
          <w:tcPr>
            <w:tcW w:w="11250" w:type="dxa"/>
          </w:tcPr>
          <w:p w14:paraId="08C8C6B1" w14:textId="49DF7165" w:rsidR="00E27407" w:rsidRPr="00C5579A" w:rsidRDefault="00E27407" w:rsidP="00E46E43">
            <w:pPr>
              <w:spacing w:before="60" w:after="60"/>
              <w:rPr>
                <w:sz w:val="20"/>
                <w:szCs w:val="20"/>
              </w:rPr>
            </w:pPr>
            <w:r w:rsidRPr="00C5579A">
              <w:rPr>
                <w:sz w:val="20"/>
                <w:szCs w:val="20"/>
              </w:rPr>
              <w:t>Report to Australian Minerals and Energy Environment Foundation. Examines both practices during negotiation phase and actual content of contracts. Doesn’t have model provisions but extensively discusses content of these agreements. https://www.icmm.com/document/1131</w:t>
            </w:r>
          </w:p>
        </w:tc>
      </w:tr>
      <w:tr w:rsidR="00E27407" w:rsidRPr="00447C2F" w14:paraId="6D2DD7F7" w14:textId="77777777" w:rsidTr="00E27407">
        <w:trPr>
          <w:trHeight w:val="305"/>
        </w:trPr>
        <w:tc>
          <w:tcPr>
            <w:tcW w:w="3656" w:type="dxa"/>
            <w:tcBorders>
              <w:bottom w:val="single" w:sz="4" w:space="0" w:color="auto"/>
            </w:tcBorders>
          </w:tcPr>
          <w:p w14:paraId="48A2A22B" w14:textId="76638B06" w:rsidR="00E27407" w:rsidRPr="00C5579A" w:rsidRDefault="00E27407" w:rsidP="00B5763D">
            <w:pPr>
              <w:spacing w:before="60" w:after="60"/>
              <w:rPr>
                <w:sz w:val="20"/>
                <w:szCs w:val="20"/>
              </w:rPr>
            </w:pPr>
            <w:hyperlink r:id="rId47" w:history="1">
              <w:r w:rsidRPr="00C5579A">
                <w:rPr>
                  <w:rStyle w:val="Hyperlink"/>
                  <w:sz w:val="20"/>
                  <w:szCs w:val="20"/>
                </w:rPr>
                <w:t>Community/Investor Guidelines for Large-Scale Land Transactions</w:t>
              </w:r>
            </w:hyperlink>
            <w:r w:rsidRPr="00C5579A">
              <w:rPr>
                <w:sz w:val="20"/>
                <w:szCs w:val="20"/>
              </w:rPr>
              <w:t xml:space="preserve"> (Ghana Commercial Agriculture Project)</w:t>
            </w:r>
          </w:p>
        </w:tc>
        <w:tc>
          <w:tcPr>
            <w:tcW w:w="11250" w:type="dxa"/>
            <w:tcBorders>
              <w:bottom w:val="single" w:sz="4" w:space="0" w:color="auto"/>
            </w:tcBorders>
          </w:tcPr>
          <w:p w14:paraId="2234338C" w14:textId="11218E39" w:rsidR="00E27407" w:rsidRPr="00C5579A" w:rsidRDefault="00E27407" w:rsidP="00E46E43">
            <w:pPr>
              <w:spacing w:before="60" w:after="60"/>
              <w:rPr>
                <w:sz w:val="20"/>
                <w:szCs w:val="20"/>
              </w:rPr>
            </w:pPr>
            <w:r w:rsidRPr="00C5579A">
              <w:rPr>
                <w:sz w:val="20"/>
                <w:szCs w:val="20"/>
              </w:rPr>
              <w:t>Aim to address gap in understanding and expectations between customary landowning communities in Ghana and commercial investors; foster a form of consent and support from the community that is broad-based and powerful; and ensure that a wide variety of stakeholders (investors, communities, governments) understand proposed investment and negotiation process.</w:t>
            </w:r>
          </w:p>
        </w:tc>
      </w:tr>
    </w:tbl>
    <w:p w14:paraId="469CD179" w14:textId="781805C2" w:rsidR="00414B44" w:rsidRDefault="00414B44"/>
    <w:p w14:paraId="21A4F2EC" w14:textId="5A10E6C9" w:rsidR="00414B44" w:rsidRDefault="00414B44">
      <w:pPr>
        <w:rPr>
          <w:b/>
          <w:bCs/>
        </w:rPr>
      </w:pPr>
      <w:r>
        <w:br w:type="column"/>
      </w:r>
      <w:r>
        <w:rPr>
          <w:b/>
        </w:rPr>
        <w:lastRenderedPageBreak/>
        <w:t xml:space="preserve">4. Proposed </w:t>
      </w:r>
      <w:r w:rsidRPr="00981E9C">
        <w:rPr>
          <w:b/>
          <w:bCs/>
        </w:rPr>
        <w:t xml:space="preserve">guide on monitoring and </w:t>
      </w:r>
      <w:r>
        <w:rPr>
          <w:b/>
          <w:bCs/>
        </w:rPr>
        <w:t xml:space="preserve">enforcement of company obligations contained in </w:t>
      </w:r>
      <w:r w:rsidRPr="00981E9C">
        <w:rPr>
          <w:b/>
          <w:bCs/>
        </w:rPr>
        <w:t>investor-state contracts</w:t>
      </w:r>
    </w:p>
    <w:p w14:paraId="55728FB3" w14:textId="77777777" w:rsidR="00414B44" w:rsidRDefault="00414B44"/>
    <w:tbl>
      <w:tblPr>
        <w:tblStyle w:val="TableGrid"/>
        <w:tblW w:w="14906" w:type="dxa"/>
        <w:tblInd w:w="-601" w:type="dxa"/>
        <w:tblLayout w:type="fixed"/>
        <w:tblLook w:val="04A0" w:firstRow="1" w:lastRow="0" w:firstColumn="1" w:lastColumn="0" w:noHBand="0" w:noVBand="1"/>
      </w:tblPr>
      <w:tblGrid>
        <w:gridCol w:w="3656"/>
        <w:gridCol w:w="11250"/>
      </w:tblGrid>
      <w:tr w:rsidR="00E27407" w:rsidRPr="00447C2F" w14:paraId="35D49AE3" w14:textId="77777777" w:rsidTr="00E27407">
        <w:trPr>
          <w:cantSplit/>
          <w:trHeight w:val="587"/>
          <w:tblHeader/>
        </w:trPr>
        <w:tc>
          <w:tcPr>
            <w:tcW w:w="3656" w:type="dxa"/>
            <w:tcBorders>
              <w:bottom w:val="single" w:sz="4" w:space="0" w:color="auto"/>
            </w:tcBorders>
          </w:tcPr>
          <w:p w14:paraId="7FBEBAE3" w14:textId="77777777" w:rsidR="00E27407" w:rsidRPr="00414B44" w:rsidRDefault="00E27407" w:rsidP="00414B44">
            <w:pPr>
              <w:spacing w:before="60" w:after="60"/>
              <w:rPr>
                <w:b/>
                <w:sz w:val="20"/>
              </w:rPr>
            </w:pPr>
            <w:r w:rsidRPr="00414B44">
              <w:rPr>
                <w:b/>
                <w:sz w:val="20"/>
              </w:rPr>
              <w:t>Product</w:t>
            </w:r>
          </w:p>
        </w:tc>
        <w:tc>
          <w:tcPr>
            <w:tcW w:w="11250" w:type="dxa"/>
            <w:tcBorders>
              <w:bottom w:val="single" w:sz="4" w:space="0" w:color="auto"/>
            </w:tcBorders>
          </w:tcPr>
          <w:p w14:paraId="53149FA8" w14:textId="77777777" w:rsidR="00E27407" w:rsidRPr="00447C2F" w:rsidRDefault="00E27407" w:rsidP="00414B44">
            <w:pPr>
              <w:spacing w:before="60" w:after="60"/>
              <w:rPr>
                <w:b/>
                <w:sz w:val="20"/>
              </w:rPr>
            </w:pPr>
            <w:r w:rsidRPr="00447C2F">
              <w:rPr>
                <w:b/>
                <w:sz w:val="20"/>
              </w:rPr>
              <w:t>Relevant content</w:t>
            </w:r>
          </w:p>
        </w:tc>
      </w:tr>
      <w:tr w:rsidR="00E27407" w:rsidRPr="00447C2F" w14:paraId="1A128A7F" w14:textId="77777777" w:rsidTr="00E27407">
        <w:trPr>
          <w:cantSplit/>
        </w:trPr>
        <w:tc>
          <w:tcPr>
            <w:tcW w:w="3656" w:type="dxa"/>
          </w:tcPr>
          <w:p w14:paraId="0F540F63" w14:textId="4AF15BBE" w:rsidR="00E27407" w:rsidRPr="00414B44" w:rsidRDefault="00E27407" w:rsidP="00B5763D">
            <w:pPr>
              <w:spacing w:before="60" w:after="60"/>
              <w:rPr>
                <w:b/>
                <w:sz w:val="20"/>
              </w:rPr>
            </w:pPr>
            <w:hyperlink r:id="rId48" w:history="1">
              <w:r w:rsidRPr="00414B44">
                <w:rPr>
                  <w:rStyle w:val="Hyperlink"/>
                  <w:b/>
                  <w:sz w:val="20"/>
                </w:rPr>
                <w:t>Contract Monitoring Roadmap</w:t>
              </w:r>
            </w:hyperlink>
            <w:r w:rsidRPr="00414B44">
              <w:rPr>
                <w:b/>
                <w:sz w:val="20"/>
              </w:rPr>
              <w:t xml:space="preserve"> (World Bank Institute / CCSI)</w:t>
            </w:r>
          </w:p>
        </w:tc>
        <w:tc>
          <w:tcPr>
            <w:tcW w:w="11250" w:type="dxa"/>
          </w:tcPr>
          <w:p w14:paraId="6A40D0D0" w14:textId="77777777" w:rsidR="00E27407" w:rsidRDefault="00E27407" w:rsidP="00B60CE8">
            <w:pPr>
              <w:spacing w:before="60" w:after="60"/>
              <w:rPr>
                <w:sz w:val="20"/>
              </w:rPr>
            </w:pPr>
            <w:r>
              <w:rPr>
                <w:sz w:val="20"/>
              </w:rPr>
              <w:t>Online tool to assist governments and other stakeholder monitor investor-state contracts. Contents:</w:t>
            </w:r>
          </w:p>
          <w:p w14:paraId="539799AC" w14:textId="77777777" w:rsidR="00E27407" w:rsidRPr="001B39B1" w:rsidRDefault="00E27407" w:rsidP="00B60CE8">
            <w:pPr>
              <w:spacing w:before="60" w:after="60"/>
              <w:rPr>
                <w:sz w:val="20"/>
              </w:rPr>
            </w:pPr>
            <w:r w:rsidRPr="001B39B1">
              <w:rPr>
                <w:sz w:val="20"/>
              </w:rPr>
              <w:t>1 &gt; Deciding what to monitor</w:t>
            </w:r>
          </w:p>
          <w:p w14:paraId="79EF3AB7" w14:textId="77777777" w:rsidR="00E27407" w:rsidRPr="001B39B1" w:rsidRDefault="00E27407" w:rsidP="00B60CE8">
            <w:pPr>
              <w:spacing w:before="60" w:after="60"/>
              <w:rPr>
                <w:sz w:val="20"/>
              </w:rPr>
            </w:pPr>
            <w:r w:rsidRPr="001B39B1">
              <w:rPr>
                <w:sz w:val="20"/>
              </w:rPr>
              <w:t>2 &gt; Relevant documents for contract monitoring</w:t>
            </w:r>
          </w:p>
          <w:p w14:paraId="69AC7983" w14:textId="77777777" w:rsidR="00E27407" w:rsidRPr="001B39B1" w:rsidRDefault="00E27407" w:rsidP="00B60CE8">
            <w:pPr>
              <w:spacing w:before="60" w:after="60"/>
              <w:rPr>
                <w:sz w:val="20"/>
              </w:rPr>
            </w:pPr>
            <w:r w:rsidRPr="001B39B1">
              <w:rPr>
                <w:sz w:val="20"/>
              </w:rPr>
              <w:t>3 &gt; Getting access to a contract and other relevant documents</w:t>
            </w:r>
          </w:p>
          <w:p w14:paraId="18BE7A52" w14:textId="77777777" w:rsidR="00E27407" w:rsidRPr="001B39B1" w:rsidRDefault="00E27407" w:rsidP="00B60CE8">
            <w:pPr>
              <w:spacing w:before="60" w:after="60"/>
              <w:rPr>
                <w:sz w:val="20"/>
              </w:rPr>
            </w:pPr>
            <w:r w:rsidRPr="001B39B1">
              <w:rPr>
                <w:sz w:val="20"/>
              </w:rPr>
              <w:t>4 &gt; Understanding what’s in a contract and other documentation</w:t>
            </w:r>
          </w:p>
          <w:p w14:paraId="5E676C8F" w14:textId="77777777" w:rsidR="00E27407" w:rsidRPr="001B39B1" w:rsidRDefault="00E27407" w:rsidP="00B60CE8">
            <w:pPr>
              <w:spacing w:before="60" w:after="60"/>
              <w:rPr>
                <w:sz w:val="20"/>
              </w:rPr>
            </w:pPr>
            <w:r w:rsidRPr="001B39B1">
              <w:rPr>
                <w:sz w:val="20"/>
              </w:rPr>
              <w:t>5 &gt; Who monitors?</w:t>
            </w:r>
          </w:p>
          <w:p w14:paraId="40BCA2CF" w14:textId="77777777" w:rsidR="00E27407" w:rsidRPr="001B39B1" w:rsidRDefault="00E27407" w:rsidP="00B60CE8">
            <w:pPr>
              <w:spacing w:before="60" w:after="60"/>
              <w:rPr>
                <w:sz w:val="20"/>
              </w:rPr>
            </w:pPr>
            <w:r w:rsidRPr="001B39B1">
              <w:rPr>
                <w:sz w:val="20"/>
              </w:rPr>
              <w:t>6 &gt; Monitoring obligations, how can it be done?</w:t>
            </w:r>
          </w:p>
          <w:p w14:paraId="1FBEB884" w14:textId="77777777" w:rsidR="00E27407" w:rsidRPr="001B39B1" w:rsidRDefault="00E27407" w:rsidP="00B60CE8">
            <w:pPr>
              <w:spacing w:before="60" w:after="60"/>
              <w:rPr>
                <w:sz w:val="20"/>
              </w:rPr>
            </w:pPr>
            <w:r w:rsidRPr="001B39B1">
              <w:rPr>
                <w:sz w:val="20"/>
              </w:rPr>
              <w:t>7 &gt; Participatory monitoring systems</w:t>
            </w:r>
          </w:p>
          <w:p w14:paraId="26DF061C" w14:textId="72B96735" w:rsidR="00E27407" w:rsidRPr="006751F1" w:rsidRDefault="00E27407" w:rsidP="006751F1">
            <w:pPr>
              <w:spacing w:before="60" w:after="60"/>
              <w:rPr>
                <w:sz w:val="20"/>
              </w:rPr>
            </w:pPr>
            <w:r w:rsidRPr="006751F1">
              <w:rPr>
                <w:sz w:val="20"/>
              </w:rPr>
              <w:t>8 &gt; Analyzing the data collected</w:t>
            </w:r>
          </w:p>
        </w:tc>
      </w:tr>
      <w:tr w:rsidR="00E27407" w:rsidRPr="00447C2F" w14:paraId="243BEF9F" w14:textId="77777777" w:rsidTr="00E27407">
        <w:trPr>
          <w:cantSplit/>
        </w:trPr>
        <w:tc>
          <w:tcPr>
            <w:tcW w:w="3656" w:type="dxa"/>
          </w:tcPr>
          <w:p w14:paraId="773FB92D" w14:textId="2F5C4206" w:rsidR="00E27407" w:rsidRPr="00414B44" w:rsidRDefault="00E27407" w:rsidP="00B5763D">
            <w:pPr>
              <w:spacing w:before="60" w:after="60"/>
              <w:rPr>
                <w:b/>
                <w:sz w:val="20"/>
              </w:rPr>
            </w:pPr>
            <w:hyperlink r:id="rId49" w:history="1">
              <w:r w:rsidRPr="00414B44">
                <w:rPr>
                  <w:rStyle w:val="Hyperlink"/>
                  <w:b/>
                  <w:sz w:val="20"/>
                </w:rPr>
                <w:t>Government and Citizen oversight of mining: Enforcing the Rules</w:t>
              </w:r>
            </w:hyperlink>
            <w:r w:rsidRPr="00414B44">
              <w:rPr>
                <w:b/>
                <w:sz w:val="20"/>
              </w:rPr>
              <w:t xml:space="preserve"> (NRGI / Human Rights Institute, Columbia University)</w:t>
            </w:r>
          </w:p>
        </w:tc>
        <w:tc>
          <w:tcPr>
            <w:tcW w:w="11250" w:type="dxa"/>
          </w:tcPr>
          <w:p w14:paraId="015D9AB4" w14:textId="77777777" w:rsidR="00E27407" w:rsidRDefault="00E27407" w:rsidP="00B60CE8">
            <w:pPr>
              <w:spacing w:before="60" w:after="60"/>
              <w:rPr>
                <w:sz w:val="20"/>
              </w:rPr>
            </w:pPr>
            <w:r>
              <w:rPr>
                <w:sz w:val="20"/>
              </w:rPr>
              <w:t>Useful discussion of community monitoring efforts, including examples from Canada, Azerbaijan, Peru and Afghanistan at pp. 53-57</w:t>
            </w:r>
          </w:p>
          <w:p w14:paraId="7F04998B" w14:textId="77777777" w:rsidR="00E27407" w:rsidRDefault="00E27407" w:rsidP="00B60CE8">
            <w:pPr>
              <w:spacing w:before="60" w:after="60"/>
              <w:rPr>
                <w:sz w:val="20"/>
              </w:rPr>
            </w:pPr>
          </w:p>
          <w:p w14:paraId="6E836580" w14:textId="77777777" w:rsidR="00E27407" w:rsidRDefault="00E27407" w:rsidP="00B60CE8">
            <w:pPr>
              <w:spacing w:before="60" w:after="60"/>
              <w:rPr>
                <w:sz w:val="20"/>
              </w:rPr>
            </w:pPr>
            <w:r>
              <w:rPr>
                <w:sz w:val="20"/>
              </w:rPr>
              <w:t xml:space="preserve">Contains a 7 page </w:t>
            </w:r>
            <w:r w:rsidRPr="0016380F">
              <w:rPr>
                <w:sz w:val="20"/>
              </w:rPr>
              <w:t>Civil Society Monitoring Toolkit</w:t>
            </w:r>
            <w:r>
              <w:rPr>
                <w:sz w:val="20"/>
              </w:rPr>
              <w:t xml:space="preserve"> (starting at PDF page 80) that provides guidance on monitoring financial obligations (taxes and royalties), social obligations (local content, consultation, infrastructure), environment, occupational health and safety, as well as operational and production obligations.</w:t>
            </w:r>
          </w:p>
          <w:p w14:paraId="62AFF1FA" w14:textId="77777777" w:rsidR="00E27407" w:rsidRPr="00A2532C" w:rsidRDefault="00E27407" w:rsidP="00A2532C">
            <w:pPr>
              <w:spacing w:before="60" w:after="60"/>
              <w:rPr>
                <w:sz w:val="20"/>
              </w:rPr>
            </w:pPr>
          </w:p>
        </w:tc>
      </w:tr>
      <w:tr w:rsidR="00E27407" w:rsidRPr="00447C2F" w14:paraId="32EB6803" w14:textId="77777777" w:rsidTr="00E27407">
        <w:trPr>
          <w:cantSplit/>
        </w:trPr>
        <w:tc>
          <w:tcPr>
            <w:tcW w:w="3656" w:type="dxa"/>
          </w:tcPr>
          <w:p w14:paraId="0B547DE7" w14:textId="10DDD40A" w:rsidR="00E27407" w:rsidRPr="00414B44" w:rsidRDefault="00E27407" w:rsidP="00B5763D">
            <w:pPr>
              <w:spacing w:before="60" w:after="60"/>
              <w:rPr>
                <w:b/>
                <w:sz w:val="20"/>
              </w:rPr>
            </w:pPr>
            <w:hyperlink r:id="rId50" w:history="1">
              <w:r w:rsidRPr="00414B44">
                <w:rPr>
                  <w:rStyle w:val="Hyperlink"/>
                  <w:b/>
                  <w:sz w:val="20"/>
                </w:rPr>
                <w:t>Natural Resource Contracts: A Practical Guide</w:t>
              </w:r>
            </w:hyperlink>
            <w:r w:rsidRPr="00414B44">
              <w:rPr>
                <w:b/>
                <w:sz w:val="20"/>
              </w:rPr>
              <w:t xml:space="preserve"> (ELAW)</w:t>
            </w:r>
          </w:p>
        </w:tc>
        <w:tc>
          <w:tcPr>
            <w:tcW w:w="11250" w:type="dxa"/>
          </w:tcPr>
          <w:p w14:paraId="10007A81" w14:textId="77777777" w:rsidR="00E27407" w:rsidRDefault="00E27407" w:rsidP="00B5763D">
            <w:pPr>
              <w:pStyle w:val="ListParagraph"/>
              <w:numPr>
                <w:ilvl w:val="0"/>
                <w:numId w:val="2"/>
              </w:numPr>
              <w:spacing w:before="60" w:after="60"/>
              <w:rPr>
                <w:sz w:val="20"/>
              </w:rPr>
            </w:pPr>
            <w:r>
              <w:rPr>
                <w:sz w:val="20"/>
              </w:rPr>
              <w:t>Covers extractives, agriculture, forestry</w:t>
            </w:r>
          </w:p>
          <w:p w14:paraId="7D685577" w14:textId="77777777" w:rsidR="00E27407" w:rsidRDefault="00E27407" w:rsidP="00B5763D">
            <w:pPr>
              <w:pStyle w:val="ListParagraph"/>
              <w:numPr>
                <w:ilvl w:val="0"/>
                <w:numId w:val="2"/>
              </w:numPr>
              <w:spacing w:before="60" w:after="60"/>
              <w:rPr>
                <w:sz w:val="20"/>
              </w:rPr>
            </w:pPr>
            <w:r>
              <w:rPr>
                <w:sz w:val="20"/>
              </w:rPr>
              <w:t>Accessible guidance on contractual terms</w:t>
            </w:r>
          </w:p>
          <w:p w14:paraId="436EC628" w14:textId="77777777" w:rsidR="00E27407" w:rsidRPr="00447C2F" w:rsidRDefault="00E27407" w:rsidP="00B5763D">
            <w:pPr>
              <w:spacing w:before="60" w:after="60"/>
              <w:rPr>
                <w:sz w:val="20"/>
              </w:rPr>
            </w:pPr>
          </w:p>
        </w:tc>
      </w:tr>
      <w:tr w:rsidR="00E27407" w:rsidRPr="00447C2F" w14:paraId="22BEB6A2" w14:textId="77777777" w:rsidTr="00E27407">
        <w:trPr>
          <w:cantSplit/>
        </w:trPr>
        <w:tc>
          <w:tcPr>
            <w:tcW w:w="3656" w:type="dxa"/>
          </w:tcPr>
          <w:p w14:paraId="1CCA78A0" w14:textId="77777777" w:rsidR="00E27407" w:rsidRPr="00414B44" w:rsidRDefault="00E27407" w:rsidP="00B5763D">
            <w:pPr>
              <w:spacing w:before="60" w:after="60"/>
              <w:rPr>
                <w:b/>
                <w:sz w:val="20"/>
              </w:rPr>
            </w:pPr>
            <w:hyperlink r:id="rId51" w:tgtFrame="_blank" w:history="1">
              <w:r w:rsidRPr="00414B44">
                <w:rPr>
                  <w:rStyle w:val="Hyperlink"/>
                  <w:b/>
                  <w:bCs/>
                  <w:sz w:val="20"/>
                </w:rPr>
                <w:t>Guide to Extractive Industry Documents – Mining</w:t>
              </w:r>
            </w:hyperlink>
            <w:r w:rsidRPr="00414B44">
              <w:rPr>
                <w:rStyle w:val="Hyperlink"/>
                <w:b/>
                <w:bCs/>
              </w:rPr>
              <w:t> </w:t>
            </w:r>
            <w:r w:rsidRPr="00414B44">
              <w:rPr>
                <w:b/>
                <w:sz w:val="20"/>
              </w:rPr>
              <w:t>(2013) </w:t>
            </w:r>
          </w:p>
          <w:p w14:paraId="1E82490D" w14:textId="77777777" w:rsidR="00E27407" w:rsidRPr="00414B44" w:rsidRDefault="00E27407" w:rsidP="00B5763D">
            <w:pPr>
              <w:spacing w:before="60" w:after="60"/>
              <w:rPr>
                <w:b/>
                <w:sz w:val="20"/>
              </w:rPr>
            </w:pPr>
            <w:r w:rsidRPr="00414B44">
              <w:rPr>
                <w:b/>
                <w:sz w:val="20"/>
              </w:rPr>
              <w:t>-and-</w:t>
            </w:r>
          </w:p>
          <w:p w14:paraId="0748245D" w14:textId="073930AC" w:rsidR="00E27407" w:rsidRPr="00414B44" w:rsidRDefault="00E27407" w:rsidP="00B5763D">
            <w:pPr>
              <w:spacing w:before="60" w:after="60"/>
              <w:rPr>
                <w:b/>
                <w:sz w:val="20"/>
              </w:rPr>
            </w:pPr>
            <w:hyperlink r:id="rId52" w:tgtFrame="_blank" w:history="1">
              <w:r w:rsidRPr="00414B44">
                <w:rPr>
                  <w:rStyle w:val="Hyperlink"/>
                  <w:b/>
                  <w:bCs/>
                  <w:sz w:val="20"/>
                </w:rPr>
                <w:t>Guide to Extractive Industry Documents - Oil &amp; Gas</w:t>
              </w:r>
            </w:hyperlink>
            <w:r w:rsidRPr="00414B44">
              <w:rPr>
                <w:b/>
                <w:sz w:val="20"/>
              </w:rPr>
              <w:t> (2013) </w:t>
            </w:r>
          </w:p>
        </w:tc>
        <w:tc>
          <w:tcPr>
            <w:tcW w:w="11250" w:type="dxa"/>
          </w:tcPr>
          <w:p w14:paraId="75A7AF9E" w14:textId="380CEBC2" w:rsidR="00E27407" w:rsidRPr="00095B4A" w:rsidRDefault="00E27407" w:rsidP="00B5763D">
            <w:pPr>
              <w:spacing w:before="60" w:after="60"/>
              <w:rPr>
                <w:sz w:val="20"/>
              </w:rPr>
            </w:pPr>
            <w:r w:rsidRPr="00095B4A">
              <w:rPr>
                <w:sz w:val="20"/>
              </w:rPr>
              <w:t>Two law firm-produced guides that provide an overview of how mining agreements are structured: their common provisions, key terms in their negotiation, and the areas to cover in the negotiation process. This guide is indicative and is not necessarily reflective of best practice.</w:t>
            </w:r>
          </w:p>
        </w:tc>
      </w:tr>
      <w:tr w:rsidR="00E27407" w:rsidRPr="00447C2F" w14:paraId="49F9481A" w14:textId="77777777" w:rsidTr="00E27407">
        <w:trPr>
          <w:cantSplit/>
        </w:trPr>
        <w:tc>
          <w:tcPr>
            <w:tcW w:w="3656" w:type="dxa"/>
          </w:tcPr>
          <w:p w14:paraId="62BD50EF" w14:textId="77777777" w:rsidR="00E27407" w:rsidRPr="00414B44" w:rsidRDefault="00E27407" w:rsidP="00B5763D">
            <w:pPr>
              <w:pStyle w:val="Heading2"/>
              <w:shd w:val="clear" w:color="auto" w:fill="FFFFFF"/>
              <w:spacing w:before="60" w:beforeAutospacing="0" w:after="60" w:afterAutospacing="0"/>
              <w:rPr>
                <w:rStyle w:val="Hyperlink"/>
                <w:rFonts w:ascii="Times New Roman" w:hAnsi="Times New Roman"/>
                <w:sz w:val="20"/>
                <w:szCs w:val="24"/>
              </w:rPr>
            </w:pPr>
            <w:hyperlink r:id="rId53" w:tgtFrame="_blank" w:history="1">
              <w:r w:rsidRPr="00414B44">
                <w:rPr>
                  <w:rStyle w:val="Hyperlink"/>
                  <w:rFonts w:ascii="Times New Roman" w:hAnsi="Times New Roman"/>
                  <w:sz w:val="20"/>
                  <w:szCs w:val="24"/>
                </w:rPr>
                <w:t>Guide to Land Contracts: Agricultural Projects</w:t>
              </w:r>
            </w:hyperlink>
          </w:p>
          <w:p w14:paraId="321F8246" w14:textId="5E485465" w:rsidR="00E27407" w:rsidRPr="00414B44" w:rsidRDefault="00E27407" w:rsidP="00B5763D">
            <w:pPr>
              <w:shd w:val="clear" w:color="auto" w:fill="FFFFFF"/>
              <w:spacing w:before="60" w:after="60"/>
              <w:rPr>
                <w:rStyle w:val="Hyperlink"/>
                <w:rFonts w:eastAsia="Times New Roman"/>
                <w:b/>
                <w:color w:val="404040"/>
                <w:sz w:val="20"/>
                <w:szCs w:val="20"/>
                <w:u w:val="none"/>
              </w:rPr>
            </w:pPr>
            <w:r w:rsidRPr="00414B44">
              <w:rPr>
                <w:rFonts w:eastAsia="Times New Roman"/>
                <w:b/>
                <w:color w:val="404040"/>
                <w:sz w:val="20"/>
                <w:szCs w:val="20"/>
              </w:rPr>
              <w:t xml:space="preserve">-and- </w:t>
            </w:r>
            <w:r w:rsidRPr="00414B44">
              <w:rPr>
                <w:rFonts w:eastAsia="Times New Roman"/>
                <w:b/>
                <w:color w:val="404040"/>
                <w:sz w:val="20"/>
                <w:szCs w:val="20"/>
              </w:rPr>
              <w:br/>
            </w:r>
            <w:hyperlink r:id="rId54" w:tgtFrame="_blank" w:history="1">
              <w:r w:rsidRPr="00414B44">
                <w:rPr>
                  <w:rStyle w:val="Hyperlink"/>
                  <w:b/>
                  <w:sz w:val="20"/>
                </w:rPr>
                <w:t>Guide to Forestry Contracts</w:t>
              </w:r>
            </w:hyperlink>
          </w:p>
          <w:p w14:paraId="69032BA6" w14:textId="7DD57B63" w:rsidR="00E27407" w:rsidRPr="00414B44" w:rsidRDefault="00E27407" w:rsidP="00B5763D">
            <w:pPr>
              <w:spacing w:before="60" w:after="60"/>
              <w:rPr>
                <w:b/>
                <w:sz w:val="20"/>
              </w:rPr>
            </w:pPr>
            <w:r w:rsidRPr="00414B44">
              <w:rPr>
                <w:rFonts w:eastAsia="Times New Roman"/>
                <w:b/>
                <w:color w:val="404040"/>
                <w:sz w:val="20"/>
                <w:szCs w:val="20"/>
              </w:rPr>
              <w:t>(ISLP / CCSI)</w:t>
            </w:r>
          </w:p>
        </w:tc>
        <w:tc>
          <w:tcPr>
            <w:tcW w:w="11250" w:type="dxa"/>
          </w:tcPr>
          <w:p w14:paraId="01EB7B81" w14:textId="77777777" w:rsidR="00E27407" w:rsidRPr="0091751C" w:rsidRDefault="00E27407" w:rsidP="00B5763D">
            <w:pPr>
              <w:spacing w:before="60" w:after="60"/>
              <w:rPr>
                <w:sz w:val="20"/>
              </w:rPr>
            </w:pPr>
            <w:r>
              <w:rPr>
                <w:sz w:val="20"/>
              </w:rPr>
              <w:t>These</w:t>
            </w:r>
            <w:r w:rsidRPr="0091751C">
              <w:rPr>
                <w:sz w:val="20"/>
              </w:rPr>
              <w:t> </w:t>
            </w:r>
            <w:r>
              <w:rPr>
                <w:sz w:val="20"/>
              </w:rPr>
              <w:t xml:space="preserve">guides </w:t>
            </w:r>
            <w:r w:rsidRPr="0091751C">
              <w:rPr>
                <w:sz w:val="20"/>
              </w:rPr>
              <w:t>w</w:t>
            </w:r>
            <w:r>
              <w:rPr>
                <w:sz w:val="20"/>
              </w:rPr>
              <w:t>ere</w:t>
            </w:r>
            <w:r w:rsidRPr="0091751C">
              <w:rPr>
                <w:sz w:val="20"/>
              </w:rPr>
              <w:t xml:space="preserve"> prepared by International Senior Lawyers Project (ISLP) staff and volunteers in collaboration with the Columbia Center on Sustainable Investment (CCSI). </w:t>
            </w:r>
            <w:r>
              <w:rPr>
                <w:sz w:val="20"/>
              </w:rPr>
              <w:t>They were</w:t>
            </w:r>
            <w:r w:rsidRPr="0091751C">
              <w:rPr>
                <w:sz w:val="20"/>
              </w:rPr>
              <w:t xml:space="preserve"> developed to assist non-lawyers in better understanding investment contracts</w:t>
            </w:r>
            <w:r>
              <w:rPr>
                <w:sz w:val="20"/>
              </w:rPr>
              <w:t xml:space="preserve"> governing agricultural and forestry projects</w:t>
            </w:r>
            <w:r w:rsidRPr="0091751C">
              <w:rPr>
                <w:sz w:val="20"/>
              </w:rPr>
              <w:t>. The Guide</w:t>
            </w:r>
            <w:r>
              <w:rPr>
                <w:sz w:val="20"/>
              </w:rPr>
              <w:t>s provide</w:t>
            </w:r>
            <w:r w:rsidRPr="0091751C">
              <w:rPr>
                <w:sz w:val="20"/>
              </w:rPr>
              <w:t xml:space="preserve"> explanations for a range of</w:t>
            </w:r>
            <w:r>
              <w:rPr>
                <w:sz w:val="20"/>
              </w:rPr>
              <w:t xml:space="preserve"> common provisions, and include g</w:t>
            </w:r>
            <w:r w:rsidRPr="0091751C">
              <w:rPr>
                <w:sz w:val="20"/>
              </w:rPr>
              <w:t>lossar</w:t>
            </w:r>
            <w:r>
              <w:rPr>
                <w:sz w:val="20"/>
              </w:rPr>
              <w:t>ies</w:t>
            </w:r>
            <w:r w:rsidRPr="0091751C">
              <w:rPr>
                <w:sz w:val="20"/>
              </w:rPr>
              <w:t xml:space="preserve"> of legal and technical terms. </w:t>
            </w:r>
          </w:p>
          <w:p w14:paraId="39AE655C" w14:textId="19A45E2D" w:rsidR="00E27407" w:rsidRPr="00447C2F" w:rsidRDefault="00E27407" w:rsidP="00B5763D">
            <w:pPr>
              <w:spacing w:before="60" w:after="60"/>
              <w:rPr>
                <w:sz w:val="20"/>
              </w:rPr>
            </w:pPr>
          </w:p>
        </w:tc>
      </w:tr>
      <w:tr w:rsidR="00E27407" w:rsidRPr="00447C2F" w14:paraId="31B02BB9" w14:textId="77777777" w:rsidTr="00E27407">
        <w:trPr>
          <w:cantSplit/>
          <w:trHeight w:val="1241"/>
        </w:trPr>
        <w:tc>
          <w:tcPr>
            <w:tcW w:w="3656" w:type="dxa"/>
          </w:tcPr>
          <w:p w14:paraId="41EDC520" w14:textId="5AA1391A" w:rsidR="00E27407" w:rsidRPr="00414B44" w:rsidRDefault="00E27407" w:rsidP="00B5763D">
            <w:pPr>
              <w:spacing w:before="60" w:after="60"/>
              <w:rPr>
                <w:b/>
                <w:sz w:val="20"/>
              </w:rPr>
            </w:pPr>
            <w:hyperlink r:id="rId55" w:history="1">
              <w:r w:rsidRPr="00414B44">
                <w:rPr>
                  <w:rStyle w:val="Hyperlink"/>
                  <w:b/>
                  <w:sz w:val="20"/>
                </w:rPr>
                <w:t>NegotiationSupport.org</w:t>
              </w:r>
            </w:hyperlink>
          </w:p>
          <w:p w14:paraId="5283FE25" w14:textId="59B03E7C" w:rsidR="00E27407" w:rsidRPr="00414B44" w:rsidRDefault="00E27407" w:rsidP="00B5763D">
            <w:pPr>
              <w:shd w:val="clear" w:color="auto" w:fill="FFFFFF"/>
              <w:spacing w:before="60" w:after="60"/>
              <w:rPr>
                <w:rFonts w:eastAsia="Times New Roman"/>
                <w:b/>
                <w:color w:val="404040"/>
                <w:sz w:val="20"/>
                <w:szCs w:val="20"/>
              </w:rPr>
            </w:pPr>
            <w:r w:rsidRPr="00414B44">
              <w:rPr>
                <w:b/>
                <w:sz w:val="20"/>
              </w:rPr>
              <w:t>(CCSI)</w:t>
            </w:r>
          </w:p>
        </w:tc>
        <w:tc>
          <w:tcPr>
            <w:tcW w:w="11250" w:type="dxa"/>
          </w:tcPr>
          <w:p w14:paraId="2CB9B3F9" w14:textId="79762DE2" w:rsidR="00E27407" w:rsidRPr="00447C2F" w:rsidRDefault="00E27407" w:rsidP="00E27407">
            <w:pPr>
              <w:spacing w:before="60" w:after="60"/>
              <w:rPr>
                <w:sz w:val="20"/>
              </w:rPr>
            </w:pPr>
            <w:r w:rsidRPr="00D51629">
              <w:rPr>
                <w:sz w:val="20"/>
              </w:rPr>
              <w:t xml:space="preserve">A Portal to support host countries in their planning, preparation for, negotiation, monitoring, and implementation of complex investment projects.  The Portal features a Roadmap of all stages of the investment process (including brief descriptions and contextualization of investor-state contract negotiations), and provides a comprehensive collection of tools and resources, professional development training's, and technical support providers available to assist governments in the investment process. The Portal also </w:t>
            </w:r>
            <w:r>
              <w:rPr>
                <w:sz w:val="20"/>
              </w:rPr>
              <w:t>hosts many of the other guides listed in this table.</w:t>
            </w:r>
          </w:p>
        </w:tc>
      </w:tr>
      <w:tr w:rsidR="00E27407" w:rsidRPr="00447C2F" w14:paraId="573F1E22" w14:textId="77777777" w:rsidTr="00E27407">
        <w:trPr>
          <w:cantSplit/>
        </w:trPr>
        <w:tc>
          <w:tcPr>
            <w:tcW w:w="3656" w:type="dxa"/>
          </w:tcPr>
          <w:p w14:paraId="2F78EFEA" w14:textId="77777777" w:rsidR="00E27407" w:rsidRPr="00414B44" w:rsidRDefault="00E27407" w:rsidP="00B60CE8">
            <w:pPr>
              <w:spacing w:before="60" w:after="60"/>
              <w:rPr>
                <w:rStyle w:val="Hyperlink"/>
                <w:b/>
                <w:sz w:val="20"/>
              </w:rPr>
            </w:pPr>
            <w:r w:rsidRPr="00414B44">
              <w:rPr>
                <w:b/>
                <w:sz w:val="20"/>
              </w:rPr>
              <w:fldChar w:fldCharType="begin"/>
            </w:r>
            <w:r w:rsidRPr="00414B44">
              <w:rPr>
                <w:b/>
                <w:sz w:val="20"/>
              </w:rPr>
              <w:instrText xml:space="preserve"> HYPERLINK "https://www.commdev.org/files/2037_file_Concept_Paper.pdf" </w:instrText>
            </w:r>
            <w:r w:rsidRPr="00414B44">
              <w:rPr>
                <w:b/>
                <w:sz w:val="20"/>
              </w:rPr>
              <w:fldChar w:fldCharType="separate"/>
            </w:r>
            <w:r w:rsidRPr="00414B44">
              <w:rPr>
                <w:rStyle w:val="Hyperlink"/>
                <w:b/>
                <w:sz w:val="20"/>
              </w:rPr>
              <w:t>Managing Risk and Maintaining License to Operate:</w:t>
            </w:r>
          </w:p>
          <w:p w14:paraId="0A3AA466" w14:textId="4D98BA66" w:rsidR="00E27407" w:rsidRPr="00414B44" w:rsidRDefault="00E27407" w:rsidP="00B5763D">
            <w:pPr>
              <w:spacing w:before="60" w:after="60"/>
              <w:rPr>
                <w:b/>
                <w:sz w:val="20"/>
              </w:rPr>
            </w:pPr>
            <w:r w:rsidRPr="00414B44">
              <w:rPr>
                <w:rStyle w:val="Hyperlink"/>
                <w:b/>
                <w:sz w:val="20"/>
              </w:rPr>
              <w:t>Participatory Planning and Monitoring in the Extractive Industries</w:t>
            </w:r>
            <w:r w:rsidRPr="00414B44">
              <w:rPr>
                <w:b/>
                <w:sz w:val="20"/>
              </w:rPr>
              <w:fldChar w:fldCharType="end"/>
            </w:r>
          </w:p>
        </w:tc>
        <w:tc>
          <w:tcPr>
            <w:tcW w:w="11250" w:type="dxa"/>
          </w:tcPr>
          <w:p w14:paraId="7733C573" w14:textId="77777777" w:rsidR="00E27407" w:rsidRDefault="00E27407" w:rsidP="00B60CE8">
            <w:pPr>
              <w:spacing w:before="60" w:after="60"/>
              <w:rPr>
                <w:sz w:val="20"/>
              </w:rPr>
            </w:pPr>
            <w:r>
              <w:rPr>
                <w:sz w:val="20"/>
              </w:rPr>
              <w:t>More about co-planning and collaboration between company and community; not focused on investor-state contracts.</w:t>
            </w:r>
          </w:p>
          <w:p w14:paraId="06C1A4C4" w14:textId="2BBF645F" w:rsidR="00E27407" w:rsidRPr="00447C2F" w:rsidRDefault="00E27407" w:rsidP="00B5763D">
            <w:pPr>
              <w:spacing w:before="60" w:after="60"/>
              <w:rPr>
                <w:sz w:val="20"/>
              </w:rPr>
            </w:pPr>
          </w:p>
        </w:tc>
      </w:tr>
      <w:tr w:rsidR="00E27407" w:rsidRPr="00447C2F" w14:paraId="1E1C4F72" w14:textId="77777777" w:rsidTr="00E27407">
        <w:trPr>
          <w:cantSplit/>
        </w:trPr>
        <w:tc>
          <w:tcPr>
            <w:tcW w:w="3656" w:type="dxa"/>
          </w:tcPr>
          <w:p w14:paraId="60B34F3B" w14:textId="3ADD0698" w:rsidR="00E27407" w:rsidRPr="00414B44" w:rsidRDefault="00E27407" w:rsidP="00B5763D">
            <w:pPr>
              <w:spacing w:before="60" w:after="60"/>
              <w:rPr>
                <w:b/>
                <w:sz w:val="20"/>
              </w:rPr>
            </w:pPr>
            <w:hyperlink r:id="rId56" w:history="1">
              <w:r w:rsidRPr="00414B44">
                <w:rPr>
                  <w:rStyle w:val="Hyperlink"/>
                  <w:b/>
                  <w:sz w:val="20"/>
                </w:rPr>
                <w:t>Monitoring for impact: Lessons on natural resources monitoring from 13 NGOs</w:t>
              </w:r>
            </w:hyperlink>
            <w:r w:rsidRPr="00414B44">
              <w:rPr>
                <w:b/>
                <w:sz w:val="20"/>
              </w:rPr>
              <w:t xml:space="preserve"> (WRI)</w:t>
            </w:r>
          </w:p>
        </w:tc>
        <w:tc>
          <w:tcPr>
            <w:tcW w:w="11250" w:type="dxa"/>
          </w:tcPr>
          <w:p w14:paraId="59F361CC" w14:textId="45CB3D26" w:rsidR="00E27407" w:rsidRPr="00447C2F" w:rsidRDefault="00E27407" w:rsidP="00E27407">
            <w:pPr>
              <w:spacing w:before="60" w:after="60"/>
              <w:rPr>
                <w:sz w:val="20"/>
              </w:rPr>
            </w:pPr>
            <w:r w:rsidRPr="00BE4144">
              <w:rPr>
                <w:rFonts w:ascii="Times" w:eastAsia="Times New Roman" w:hAnsi="Times"/>
                <w:sz w:val="20"/>
                <w:szCs w:val="20"/>
              </w:rPr>
              <w:t>A handbook on organizing and implementing effective natural resources monitoring programs based on the experiences of and lessons learned by thirteen NGOs.</w:t>
            </w:r>
          </w:p>
        </w:tc>
      </w:tr>
      <w:tr w:rsidR="00E27407" w:rsidRPr="00447C2F" w14:paraId="48CEEF6A" w14:textId="77777777" w:rsidTr="00E27407">
        <w:trPr>
          <w:cantSplit/>
        </w:trPr>
        <w:tc>
          <w:tcPr>
            <w:tcW w:w="3656" w:type="dxa"/>
          </w:tcPr>
          <w:p w14:paraId="3FDA2356" w14:textId="01AC0CE2" w:rsidR="00E27407" w:rsidRPr="00414B44" w:rsidRDefault="00E27407" w:rsidP="00CB5B63">
            <w:pPr>
              <w:spacing w:before="60" w:after="60"/>
              <w:rPr>
                <w:b/>
                <w:bCs/>
                <w:sz w:val="20"/>
              </w:rPr>
            </w:pPr>
            <w:hyperlink r:id="rId57" w:history="1">
              <w:r w:rsidRPr="00414B44">
                <w:rPr>
                  <w:rStyle w:val="Hyperlink"/>
                  <w:b/>
                  <w:bCs/>
                  <w:sz w:val="20"/>
                </w:rPr>
                <w:t>A Community-Based Guide for Monitoring Impacts of Oil and Gas Activities on the Environment</w:t>
              </w:r>
            </w:hyperlink>
            <w:r w:rsidRPr="00414B44">
              <w:rPr>
                <w:b/>
                <w:sz w:val="20"/>
              </w:rPr>
              <w:t xml:space="preserve"> (</w:t>
            </w:r>
            <w:r w:rsidRPr="00414B44">
              <w:rPr>
                <w:b/>
                <w:bCs/>
                <w:sz w:val="20"/>
              </w:rPr>
              <w:t>Greenwatch Uganda</w:t>
            </w:r>
            <w:r w:rsidRPr="00414B44">
              <w:rPr>
                <w:b/>
                <w:sz w:val="20"/>
              </w:rPr>
              <w:t>)</w:t>
            </w:r>
          </w:p>
          <w:p w14:paraId="5ABA71F9" w14:textId="2FDE625F" w:rsidR="00E27407" w:rsidRPr="00414B44" w:rsidRDefault="00E27407" w:rsidP="00B5763D">
            <w:pPr>
              <w:spacing w:before="60" w:after="60"/>
              <w:rPr>
                <w:b/>
                <w:sz w:val="20"/>
              </w:rPr>
            </w:pPr>
          </w:p>
        </w:tc>
        <w:tc>
          <w:tcPr>
            <w:tcW w:w="11250" w:type="dxa"/>
          </w:tcPr>
          <w:p w14:paraId="3DB928C9" w14:textId="77777777" w:rsidR="00E27407" w:rsidRPr="00CB5B63" w:rsidRDefault="00E27407" w:rsidP="00CB5B63">
            <w:pPr>
              <w:spacing w:before="60" w:after="60"/>
              <w:rPr>
                <w:sz w:val="20"/>
              </w:rPr>
            </w:pPr>
            <w:r w:rsidRPr="00CB5B63">
              <w:rPr>
                <w:sz w:val="20"/>
              </w:rPr>
              <w:t>This 81-page user-friendly guide published in 2011 is intended for local communities and community-based organizations that are working to monitor the effects of oil and gas development activities on the environment. The guide provides information about the key actors in the Ugandan oil and gas exploration industry, environmental issues that arise and the best way of monitoring and managing such impacts, including EIAs, environment restoration orders, access to information, access to justice, mitigation and waste management.</w:t>
            </w:r>
          </w:p>
          <w:p w14:paraId="3DB34934" w14:textId="32B52862" w:rsidR="00E27407" w:rsidRPr="00D6686B" w:rsidRDefault="00E27407" w:rsidP="00B5763D">
            <w:pPr>
              <w:spacing w:before="60" w:after="60"/>
              <w:rPr>
                <w:sz w:val="20"/>
              </w:rPr>
            </w:pPr>
          </w:p>
        </w:tc>
      </w:tr>
      <w:tr w:rsidR="00E27407" w:rsidRPr="00447C2F" w14:paraId="0F2AF27E" w14:textId="77777777" w:rsidTr="00E27407">
        <w:trPr>
          <w:cantSplit/>
        </w:trPr>
        <w:tc>
          <w:tcPr>
            <w:tcW w:w="3656" w:type="dxa"/>
          </w:tcPr>
          <w:p w14:paraId="5DAB0EBB" w14:textId="5571713A" w:rsidR="00E27407" w:rsidRPr="00414B44" w:rsidRDefault="00E27407" w:rsidP="008E3297">
            <w:pPr>
              <w:rPr>
                <w:rFonts w:ascii="Times" w:eastAsia="Times New Roman" w:hAnsi="Times"/>
                <w:b/>
                <w:sz w:val="20"/>
                <w:szCs w:val="20"/>
              </w:rPr>
            </w:pPr>
            <w:hyperlink r:id="rId58" w:history="1">
              <w:r w:rsidRPr="00414B44">
                <w:rPr>
                  <w:rStyle w:val="Hyperlink"/>
                  <w:rFonts w:ascii="Times" w:eastAsia="Times New Roman" w:hAnsi="Times"/>
                  <w:b/>
                  <w:sz w:val="20"/>
                  <w:szCs w:val="20"/>
                </w:rPr>
                <w:t>Protecting Your</w:t>
              </w:r>
            </w:hyperlink>
            <w:r w:rsidRPr="00414B44">
              <w:rPr>
                <w:rFonts w:ascii="Times" w:eastAsia="Times New Roman" w:hAnsi="Times"/>
                <w:b/>
                <w:sz w:val="20"/>
                <w:szCs w:val="20"/>
              </w:rPr>
              <w:t xml:space="preserve"> </w:t>
            </w:r>
            <w:hyperlink r:id="rId59" w:history="1">
              <w:r w:rsidRPr="00414B44">
                <w:rPr>
                  <w:rStyle w:val="Hyperlink"/>
                  <w:rFonts w:ascii="Times" w:eastAsia="Times New Roman" w:hAnsi="Times"/>
                  <w:b/>
                  <w:sz w:val="20"/>
                  <w:szCs w:val="20"/>
                </w:rPr>
                <w:t>Community Against Mining Companies and Other Extractive Industries A Guide for Community Organizers</w:t>
              </w:r>
            </w:hyperlink>
          </w:p>
          <w:p w14:paraId="026871C5" w14:textId="48580BEA" w:rsidR="00E27407" w:rsidRPr="00414B44" w:rsidRDefault="00E27407" w:rsidP="00B5763D">
            <w:pPr>
              <w:shd w:val="clear" w:color="auto" w:fill="FFFFFF"/>
              <w:spacing w:before="60" w:after="60"/>
              <w:rPr>
                <w:rFonts w:eastAsia="Times New Roman"/>
                <w:b/>
                <w:color w:val="404040"/>
                <w:sz w:val="20"/>
                <w:szCs w:val="20"/>
              </w:rPr>
            </w:pPr>
            <w:r w:rsidRPr="00414B44">
              <w:rPr>
                <w:rFonts w:eastAsia="Times New Roman"/>
                <w:b/>
                <w:color w:val="404040"/>
                <w:sz w:val="20"/>
                <w:szCs w:val="20"/>
              </w:rPr>
              <w:t>(Global Response / Carlos Zorilla)</w:t>
            </w:r>
          </w:p>
        </w:tc>
        <w:tc>
          <w:tcPr>
            <w:tcW w:w="11250" w:type="dxa"/>
          </w:tcPr>
          <w:p w14:paraId="122DFCCB" w14:textId="77777777" w:rsidR="00E27407" w:rsidRPr="00F17CCE" w:rsidRDefault="00E27407" w:rsidP="00F17CCE">
            <w:pPr>
              <w:rPr>
                <w:rFonts w:ascii="Times" w:eastAsia="Times New Roman" w:hAnsi="Times"/>
                <w:sz w:val="20"/>
                <w:szCs w:val="20"/>
              </w:rPr>
            </w:pPr>
            <w:r w:rsidRPr="00F17CCE">
              <w:rPr>
                <w:rFonts w:ascii="Times" w:eastAsia="Times New Roman" w:hAnsi="Times"/>
                <w:sz w:val="20"/>
                <w:szCs w:val="20"/>
              </w:rPr>
              <w:t>This guide describes aspects of the mining process, the dangers you and your community face when mining companies seek to operate in your community, and the many ways you can fight back. It is intended for use by regional/national leaders who can work with local community leaders to plan local actions, and who can also do work at the governmental, national, and international levels.</w:t>
            </w:r>
          </w:p>
          <w:p w14:paraId="7BE13D33" w14:textId="77777777" w:rsidR="00E27407" w:rsidRDefault="00E27407" w:rsidP="00B5763D">
            <w:pPr>
              <w:spacing w:before="60" w:after="60"/>
              <w:rPr>
                <w:sz w:val="20"/>
              </w:rPr>
            </w:pPr>
          </w:p>
        </w:tc>
      </w:tr>
      <w:tr w:rsidR="00E27407" w:rsidRPr="00447C2F" w14:paraId="5DA7E629" w14:textId="77777777" w:rsidTr="00E27407">
        <w:trPr>
          <w:cantSplit/>
        </w:trPr>
        <w:tc>
          <w:tcPr>
            <w:tcW w:w="3656" w:type="dxa"/>
          </w:tcPr>
          <w:p w14:paraId="19724FD5" w14:textId="77777777" w:rsidR="00E27407" w:rsidRPr="00414B44" w:rsidRDefault="00E27407" w:rsidP="00927060">
            <w:pPr>
              <w:rPr>
                <w:rFonts w:ascii="Times" w:eastAsia="Times New Roman" w:hAnsi="Times"/>
                <w:b/>
                <w:sz w:val="20"/>
                <w:szCs w:val="20"/>
              </w:rPr>
            </w:pPr>
            <w:hyperlink r:id="rId60" w:history="1">
              <w:r w:rsidRPr="00414B44">
                <w:rPr>
                  <w:rStyle w:val="Hyperlink"/>
                  <w:rFonts w:ascii="Times" w:eastAsia="Times New Roman" w:hAnsi="Times"/>
                  <w:b/>
                  <w:iCs/>
                  <w:sz w:val="20"/>
                  <w:szCs w:val="20"/>
                </w:rPr>
                <w:t>Guide for Evaluating Mining Project Environmental Impact Assessments</w:t>
              </w:r>
            </w:hyperlink>
          </w:p>
          <w:p w14:paraId="4CFB6700" w14:textId="251E9EFA" w:rsidR="00E27407" w:rsidRPr="00414B44" w:rsidRDefault="00E27407" w:rsidP="008E3297">
            <w:pPr>
              <w:rPr>
                <w:rFonts w:ascii="Times" w:eastAsia="Times New Roman" w:hAnsi="Times"/>
                <w:b/>
                <w:sz w:val="20"/>
                <w:szCs w:val="20"/>
              </w:rPr>
            </w:pPr>
            <w:r w:rsidRPr="00414B44">
              <w:rPr>
                <w:rFonts w:ascii="Times" w:eastAsia="Times New Roman" w:hAnsi="Times"/>
                <w:b/>
                <w:sz w:val="20"/>
                <w:szCs w:val="20"/>
              </w:rPr>
              <w:t>(ELAW)</w:t>
            </w:r>
          </w:p>
        </w:tc>
        <w:tc>
          <w:tcPr>
            <w:tcW w:w="11250" w:type="dxa"/>
          </w:tcPr>
          <w:p w14:paraId="63AB3CF8" w14:textId="20F5B2FF" w:rsidR="00E27407" w:rsidRPr="00F17CCE" w:rsidRDefault="00E27407" w:rsidP="00E27407">
            <w:pPr>
              <w:rPr>
                <w:rFonts w:ascii="Times" w:eastAsia="Times New Roman" w:hAnsi="Times"/>
                <w:sz w:val="20"/>
                <w:szCs w:val="20"/>
              </w:rPr>
            </w:pPr>
            <w:r w:rsidRPr="00927060">
              <w:rPr>
                <w:rFonts w:ascii="Times" w:eastAsia="Times New Roman" w:hAnsi="Times"/>
                <w:sz w:val="20"/>
                <w:szCs w:val="20"/>
              </w:rPr>
              <w:t>This guide is designed to assist grassroots advocates and communities to understand mining EIAs, identify flaws in mining project plans, convince decision-makers to reject ill-conceived mining projects, and explore ways that proposed mining projects could be made socially and environmentally acceptable. </w:t>
            </w:r>
          </w:p>
        </w:tc>
      </w:tr>
    </w:tbl>
    <w:p w14:paraId="3289A826" w14:textId="77777777" w:rsidR="0064547F" w:rsidRDefault="0064547F"/>
    <w:sectPr w:rsidR="0064547F" w:rsidSect="00D36E59">
      <w:pgSz w:w="16840" w:h="11900"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6A9F" w14:textId="77777777" w:rsidR="008F32C3" w:rsidRDefault="008F32C3" w:rsidP="00460E53">
      <w:r>
        <w:separator/>
      </w:r>
    </w:p>
  </w:endnote>
  <w:endnote w:type="continuationSeparator" w:id="0">
    <w:p w14:paraId="1DCB1079" w14:textId="77777777" w:rsidR="008F32C3" w:rsidRDefault="008F32C3" w:rsidP="0046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49F80" w14:textId="77777777" w:rsidR="008F32C3" w:rsidRDefault="008F32C3" w:rsidP="00460E53">
      <w:r>
        <w:separator/>
      </w:r>
    </w:p>
  </w:footnote>
  <w:footnote w:type="continuationSeparator" w:id="0">
    <w:p w14:paraId="6EF059F6" w14:textId="77777777" w:rsidR="008F32C3" w:rsidRDefault="008F32C3" w:rsidP="00460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165"/>
    <w:multiLevelType w:val="hybridMultilevel"/>
    <w:tmpl w:val="AFB65EB8"/>
    <w:lvl w:ilvl="0" w:tplc="8B1E8D26">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5D15"/>
    <w:multiLevelType w:val="hybridMultilevel"/>
    <w:tmpl w:val="57C0B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8557A"/>
    <w:multiLevelType w:val="hybridMultilevel"/>
    <w:tmpl w:val="06EA8CFA"/>
    <w:lvl w:ilvl="0" w:tplc="8B1E8D26">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B0356"/>
    <w:multiLevelType w:val="multilevel"/>
    <w:tmpl w:val="58CCDE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51545"/>
    <w:multiLevelType w:val="hybridMultilevel"/>
    <w:tmpl w:val="3CD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E7F85"/>
    <w:multiLevelType w:val="hybridMultilevel"/>
    <w:tmpl w:val="E770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F6C7F"/>
    <w:multiLevelType w:val="hybridMultilevel"/>
    <w:tmpl w:val="496E7770"/>
    <w:lvl w:ilvl="0" w:tplc="8B1E8D26">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14B3A"/>
    <w:multiLevelType w:val="hybridMultilevel"/>
    <w:tmpl w:val="588AF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35227"/>
    <w:multiLevelType w:val="hybridMultilevel"/>
    <w:tmpl w:val="E53485BA"/>
    <w:lvl w:ilvl="0" w:tplc="D3C825D0">
      <w:numFmt w:val="bullet"/>
      <w:lvlText w:val="—"/>
      <w:lvlJc w:val="left"/>
      <w:pPr>
        <w:ind w:left="502" w:hanging="360"/>
      </w:pPr>
      <w:rPr>
        <w:rFonts w:ascii="Times New Roman" w:eastAsiaTheme="minorEastAsia" w:hAnsi="Times New Roman" w:cs="Times New Roman"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393A227F"/>
    <w:multiLevelType w:val="hybridMultilevel"/>
    <w:tmpl w:val="51BAA3D0"/>
    <w:lvl w:ilvl="0" w:tplc="8B1E8D26">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7D8E"/>
    <w:multiLevelType w:val="hybridMultilevel"/>
    <w:tmpl w:val="ECA4DB0C"/>
    <w:lvl w:ilvl="0" w:tplc="8B1E8D26">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45B8D"/>
    <w:multiLevelType w:val="hybridMultilevel"/>
    <w:tmpl w:val="05B65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647945"/>
    <w:multiLevelType w:val="hybridMultilevel"/>
    <w:tmpl w:val="88AA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065D6"/>
    <w:multiLevelType w:val="multilevel"/>
    <w:tmpl w:val="233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6C0636"/>
    <w:multiLevelType w:val="hybridMultilevel"/>
    <w:tmpl w:val="F30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96A98"/>
    <w:multiLevelType w:val="hybridMultilevel"/>
    <w:tmpl w:val="4D508730"/>
    <w:lvl w:ilvl="0" w:tplc="8B1E8D26">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05B25"/>
    <w:multiLevelType w:val="hybridMultilevel"/>
    <w:tmpl w:val="E786A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264296"/>
    <w:multiLevelType w:val="hybridMultilevel"/>
    <w:tmpl w:val="4B52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11"/>
  </w:num>
  <w:num w:numId="5">
    <w:abstractNumId w:val="9"/>
  </w:num>
  <w:num w:numId="6">
    <w:abstractNumId w:val="2"/>
  </w:num>
  <w:num w:numId="7">
    <w:abstractNumId w:val="10"/>
  </w:num>
  <w:num w:numId="8">
    <w:abstractNumId w:val="6"/>
  </w:num>
  <w:num w:numId="9">
    <w:abstractNumId w:val="15"/>
  </w:num>
  <w:num w:numId="10">
    <w:abstractNumId w:val="0"/>
  </w:num>
  <w:num w:numId="11">
    <w:abstractNumId w:val="13"/>
  </w:num>
  <w:num w:numId="12">
    <w:abstractNumId w:val="3"/>
  </w:num>
  <w:num w:numId="13">
    <w:abstractNumId w:val="4"/>
  </w:num>
  <w:num w:numId="14">
    <w:abstractNumId w:val="8"/>
  </w:num>
  <w:num w:numId="15">
    <w:abstractNumId w:val="5"/>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2F"/>
    <w:rsid w:val="0001795D"/>
    <w:rsid w:val="00021110"/>
    <w:rsid w:val="00023EF2"/>
    <w:rsid w:val="0002512C"/>
    <w:rsid w:val="00046464"/>
    <w:rsid w:val="000733A2"/>
    <w:rsid w:val="00095B4A"/>
    <w:rsid w:val="000A0B46"/>
    <w:rsid w:val="000B20F3"/>
    <w:rsid w:val="000B79CA"/>
    <w:rsid w:val="000F371D"/>
    <w:rsid w:val="0010491F"/>
    <w:rsid w:val="00126C20"/>
    <w:rsid w:val="00127C96"/>
    <w:rsid w:val="001413D6"/>
    <w:rsid w:val="00153B3E"/>
    <w:rsid w:val="00154AF7"/>
    <w:rsid w:val="0016380F"/>
    <w:rsid w:val="001B39B1"/>
    <w:rsid w:val="001C78C2"/>
    <w:rsid w:val="001E5790"/>
    <w:rsid w:val="0021072B"/>
    <w:rsid w:val="00246CF5"/>
    <w:rsid w:val="002A1D62"/>
    <w:rsid w:val="002D275E"/>
    <w:rsid w:val="002E0EC6"/>
    <w:rsid w:val="002E5F05"/>
    <w:rsid w:val="00303F83"/>
    <w:rsid w:val="00313AD5"/>
    <w:rsid w:val="00327505"/>
    <w:rsid w:val="00332758"/>
    <w:rsid w:val="003354C5"/>
    <w:rsid w:val="003369F1"/>
    <w:rsid w:val="003411D9"/>
    <w:rsid w:val="00347450"/>
    <w:rsid w:val="00347476"/>
    <w:rsid w:val="003547DE"/>
    <w:rsid w:val="00360A12"/>
    <w:rsid w:val="00387BD7"/>
    <w:rsid w:val="00387F4D"/>
    <w:rsid w:val="003C5582"/>
    <w:rsid w:val="003E4F97"/>
    <w:rsid w:val="003E5819"/>
    <w:rsid w:val="00414B44"/>
    <w:rsid w:val="00430C31"/>
    <w:rsid w:val="00432308"/>
    <w:rsid w:val="004422FE"/>
    <w:rsid w:val="00447C2F"/>
    <w:rsid w:val="00460E53"/>
    <w:rsid w:val="00490F09"/>
    <w:rsid w:val="00494363"/>
    <w:rsid w:val="004B0B98"/>
    <w:rsid w:val="004B0F36"/>
    <w:rsid w:val="004B21DB"/>
    <w:rsid w:val="004E3478"/>
    <w:rsid w:val="004F4030"/>
    <w:rsid w:val="004F6E25"/>
    <w:rsid w:val="005024F7"/>
    <w:rsid w:val="00514F80"/>
    <w:rsid w:val="00520B0F"/>
    <w:rsid w:val="00552DB9"/>
    <w:rsid w:val="005625FE"/>
    <w:rsid w:val="00565E71"/>
    <w:rsid w:val="005706E1"/>
    <w:rsid w:val="00586427"/>
    <w:rsid w:val="00592872"/>
    <w:rsid w:val="00596D69"/>
    <w:rsid w:val="005A249E"/>
    <w:rsid w:val="005B3EB7"/>
    <w:rsid w:val="005B7874"/>
    <w:rsid w:val="005C082D"/>
    <w:rsid w:val="005C5255"/>
    <w:rsid w:val="005D220B"/>
    <w:rsid w:val="005E013B"/>
    <w:rsid w:val="005E5445"/>
    <w:rsid w:val="005F17DA"/>
    <w:rsid w:val="00616C9F"/>
    <w:rsid w:val="00626841"/>
    <w:rsid w:val="0063678E"/>
    <w:rsid w:val="00643E7B"/>
    <w:rsid w:val="00644E1E"/>
    <w:rsid w:val="0064547F"/>
    <w:rsid w:val="006541A6"/>
    <w:rsid w:val="006730F5"/>
    <w:rsid w:val="006751F1"/>
    <w:rsid w:val="00685D73"/>
    <w:rsid w:val="006A5FF2"/>
    <w:rsid w:val="006A7366"/>
    <w:rsid w:val="006B7701"/>
    <w:rsid w:val="006D3129"/>
    <w:rsid w:val="006E6837"/>
    <w:rsid w:val="006F5DBE"/>
    <w:rsid w:val="00737932"/>
    <w:rsid w:val="00745F2D"/>
    <w:rsid w:val="00746C13"/>
    <w:rsid w:val="007553DB"/>
    <w:rsid w:val="00757FF2"/>
    <w:rsid w:val="007873F6"/>
    <w:rsid w:val="007932EB"/>
    <w:rsid w:val="007E128A"/>
    <w:rsid w:val="007E37A0"/>
    <w:rsid w:val="007E7B43"/>
    <w:rsid w:val="007F21E6"/>
    <w:rsid w:val="00806238"/>
    <w:rsid w:val="0081152B"/>
    <w:rsid w:val="00823D3A"/>
    <w:rsid w:val="008371F4"/>
    <w:rsid w:val="00892DDC"/>
    <w:rsid w:val="0089459E"/>
    <w:rsid w:val="008A4773"/>
    <w:rsid w:val="008A6D00"/>
    <w:rsid w:val="008B0DED"/>
    <w:rsid w:val="008D6FF4"/>
    <w:rsid w:val="008E3297"/>
    <w:rsid w:val="008E3869"/>
    <w:rsid w:val="008F32C3"/>
    <w:rsid w:val="0091751C"/>
    <w:rsid w:val="00922822"/>
    <w:rsid w:val="00924AAF"/>
    <w:rsid w:val="00924D4C"/>
    <w:rsid w:val="00925A5B"/>
    <w:rsid w:val="00927060"/>
    <w:rsid w:val="00932A92"/>
    <w:rsid w:val="009470B5"/>
    <w:rsid w:val="00952B13"/>
    <w:rsid w:val="00973228"/>
    <w:rsid w:val="00975B72"/>
    <w:rsid w:val="00975BEC"/>
    <w:rsid w:val="0099402A"/>
    <w:rsid w:val="00995459"/>
    <w:rsid w:val="0099656E"/>
    <w:rsid w:val="009B6913"/>
    <w:rsid w:val="009B7E7A"/>
    <w:rsid w:val="00A019BC"/>
    <w:rsid w:val="00A2532C"/>
    <w:rsid w:val="00A25BDB"/>
    <w:rsid w:val="00A53A6C"/>
    <w:rsid w:val="00A54B49"/>
    <w:rsid w:val="00A64C22"/>
    <w:rsid w:val="00A65FA0"/>
    <w:rsid w:val="00A86D2B"/>
    <w:rsid w:val="00A9089F"/>
    <w:rsid w:val="00AA0B01"/>
    <w:rsid w:val="00AB6EA8"/>
    <w:rsid w:val="00AC2026"/>
    <w:rsid w:val="00AD1631"/>
    <w:rsid w:val="00AD198F"/>
    <w:rsid w:val="00B05A74"/>
    <w:rsid w:val="00B359E6"/>
    <w:rsid w:val="00B522B6"/>
    <w:rsid w:val="00B5763D"/>
    <w:rsid w:val="00B60CE8"/>
    <w:rsid w:val="00B6750F"/>
    <w:rsid w:val="00B87F38"/>
    <w:rsid w:val="00B9492B"/>
    <w:rsid w:val="00BC53FF"/>
    <w:rsid w:val="00BE4144"/>
    <w:rsid w:val="00BF640E"/>
    <w:rsid w:val="00C15330"/>
    <w:rsid w:val="00C17991"/>
    <w:rsid w:val="00C5579A"/>
    <w:rsid w:val="00C5677E"/>
    <w:rsid w:val="00C63DF9"/>
    <w:rsid w:val="00C8234F"/>
    <w:rsid w:val="00C8340D"/>
    <w:rsid w:val="00C83B12"/>
    <w:rsid w:val="00CB4130"/>
    <w:rsid w:val="00CB5B63"/>
    <w:rsid w:val="00CC2D54"/>
    <w:rsid w:val="00CC4364"/>
    <w:rsid w:val="00CF3DA5"/>
    <w:rsid w:val="00D27AE0"/>
    <w:rsid w:val="00D36E59"/>
    <w:rsid w:val="00D400D5"/>
    <w:rsid w:val="00D444F1"/>
    <w:rsid w:val="00D44816"/>
    <w:rsid w:val="00D6686B"/>
    <w:rsid w:val="00D774CF"/>
    <w:rsid w:val="00D826B6"/>
    <w:rsid w:val="00D93FDD"/>
    <w:rsid w:val="00D95296"/>
    <w:rsid w:val="00D96202"/>
    <w:rsid w:val="00D9697C"/>
    <w:rsid w:val="00DB0895"/>
    <w:rsid w:val="00DB22D6"/>
    <w:rsid w:val="00DB4825"/>
    <w:rsid w:val="00DB4AE4"/>
    <w:rsid w:val="00DC1E82"/>
    <w:rsid w:val="00DD2727"/>
    <w:rsid w:val="00DD4FB7"/>
    <w:rsid w:val="00DD7EB0"/>
    <w:rsid w:val="00E113D9"/>
    <w:rsid w:val="00E27407"/>
    <w:rsid w:val="00E442B1"/>
    <w:rsid w:val="00E46E43"/>
    <w:rsid w:val="00E518C7"/>
    <w:rsid w:val="00E56197"/>
    <w:rsid w:val="00E57F9D"/>
    <w:rsid w:val="00EC5150"/>
    <w:rsid w:val="00EC561E"/>
    <w:rsid w:val="00EC6CA3"/>
    <w:rsid w:val="00EE2021"/>
    <w:rsid w:val="00EF46E2"/>
    <w:rsid w:val="00F06E51"/>
    <w:rsid w:val="00F15DBF"/>
    <w:rsid w:val="00F17CCE"/>
    <w:rsid w:val="00F210B9"/>
    <w:rsid w:val="00F32805"/>
    <w:rsid w:val="00F45D77"/>
    <w:rsid w:val="00F52456"/>
    <w:rsid w:val="00F64864"/>
    <w:rsid w:val="00F667BB"/>
    <w:rsid w:val="00F71F4E"/>
    <w:rsid w:val="00F76BA5"/>
    <w:rsid w:val="00F816E3"/>
    <w:rsid w:val="00F87E61"/>
    <w:rsid w:val="00FA03DE"/>
    <w:rsid w:val="00FA1417"/>
    <w:rsid w:val="00FB2189"/>
    <w:rsid w:val="00FB55C1"/>
    <w:rsid w:val="00FC47B9"/>
    <w:rsid w:val="00FE3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71C95"/>
  <w14:defaultImageDpi w14:val="300"/>
  <w15:docId w15:val="{703DF9C5-21A4-4778-A57D-9CAF44A6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751C"/>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CB5B6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89459E"/>
    <w:rPr>
      <w:rFonts w:eastAsiaTheme="minorHAnsi"/>
      <w:sz w:val="20"/>
      <w:lang w:val="en-AU"/>
    </w:rPr>
  </w:style>
  <w:style w:type="character" w:customStyle="1" w:styleId="FootnoteTextChar">
    <w:name w:val="Footnote Text Char"/>
    <w:basedOn w:val="DefaultParagraphFont"/>
    <w:link w:val="FootnoteText"/>
    <w:uiPriority w:val="99"/>
    <w:rsid w:val="0089459E"/>
    <w:rPr>
      <w:rFonts w:ascii="Times New Roman" w:eastAsiaTheme="minorHAnsi" w:hAnsi="Times New Roman"/>
      <w:sz w:val="20"/>
      <w:lang w:val="en-AU"/>
    </w:rPr>
  </w:style>
  <w:style w:type="table" w:styleId="TableGrid">
    <w:name w:val="Table Grid"/>
    <w:basedOn w:val="TableNormal"/>
    <w:uiPriority w:val="59"/>
    <w:rsid w:val="0044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C2F"/>
    <w:rPr>
      <w:color w:val="0000FF" w:themeColor="hyperlink"/>
      <w:u w:val="single"/>
    </w:rPr>
  </w:style>
  <w:style w:type="paragraph" w:styleId="ListParagraph">
    <w:name w:val="List Paragraph"/>
    <w:basedOn w:val="Normal"/>
    <w:uiPriority w:val="34"/>
    <w:qFormat/>
    <w:rsid w:val="008D6FF4"/>
    <w:pPr>
      <w:ind w:left="720"/>
      <w:contextualSpacing/>
    </w:pPr>
  </w:style>
  <w:style w:type="character" w:styleId="FollowedHyperlink">
    <w:name w:val="FollowedHyperlink"/>
    <w:basedOn w:val="DefaultParagraphFont"/>
    <w:uiPriority w:val="99"/>
    <w:semiHidden/>
    <w:unhideWhenUsed/>
    <w:rsid w:val="00D95296"/>
    <w:rPr>
      <w:color w:val="800080" w:themeColor="followedHyperlink"/>
      <w:u w:val="single"/>
    </w:rPr>
  </w:style>
  <w:style w:type="character" w:customStyle="1" w:styleId="Heading2Char">
    <w:name w:val="Heading 2 Char"/>
    <w:basedOn w:val="DefaultParagraphFont"/>
    <w:link w:val="Heading2"/>
    <w:uiPriority w:val="9"/>
    <w:rsid w:val="0091751C"/>
    <w:rPr>
      <w:rFonts w:ascii="Times" w:hAnsi="Times"/>
      <w:b/>
      <w:bCs/>
      <w:sz w:val="36"/>
      <w:szCs w:val="36"/>
    </w:rPr>
  </w:style>
  <w:style w:type="character" w:customStyle="1" w:styleId="apple-converted-space">
    <w:name w:val="apple-converted-space"/>
    <w:basedOn w:val="DefaultParagraphFont"/>
    <w:rsid w:val="0091751C"/>
  </w:style>
  <w:style w:type="character" w:styleId="Emphasis">
    <w:name w:val="Emphasis"/>
    <w:basedOn w:val="DefaultParagraphFont"/>
    <w:uiPriority w:val="20"/>
    <w:qFormat/>
    <w:rsid w:val="0091751C"/>
    <w:rPr>
      <w:i/>
      <w:iCs/>
    </w:rPr>
  </w:style>
  <w:style w:type="paragraph" w:styleId="BalloonText">
    <w:name w:val="Balloon Text"/>
    <w:basedOn w:val="Normal"/>
    <w:link w:val="BalloonTextChar"/>
    <w:uiPriority w:val="99"/>
    <w:semiHidden/>
    <w:unhideWhenUsed/>
    <w:rsid w:val="009175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51C"/>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CB5B6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60E53"/>
    <w:pPr>
      <w:tabs>
        <w:tab w:val="center" w:pos="4320"/>
        <w:tab w:val="right" w:pos="8640"/>
      </w:tabs>
    </w:pPr>
  </w:style>
  <w:style w:type="character" w:customStyle="1" w:styleId="HeaderChar">
    <w:name w:val="Header Char"/>
    <w:basedOn w:val="DefaultParagraphFont"/>
    <w:link w:val="Header"/>
    <w:uiPriority w:val="99"/>
    <w:rsid w:val="00460E53"/>
  </w:style>
  <w:style w:type="paragraph" w:styleId="Footer">
    <w:name w:val="footer"/>
    <w:basedOn w:val="Normal"/>
    <w:link w:val="FooterChar"/>
    <w:uiPriority w:val="99"/>
    <w:unhideWhenUsed/>
    <w:rsid w:val="00460E53"/>
    <w:pPr>
      <w:tabs>
        <w:tab w:val="center" w:pos="4320"/>
        <w:tab w:val="right" w:pos="8640"/>
      </w:tabs>
    </w:pPr>
  </w:style>
  <w:style w:type="character" w:customStyle="1" w:styleId="FooterChar">
    <w:name w:val="Footer Char"/>
    <w:basedOn w:val="DefaultParagraphFont"/>
    <w:link w:val="Footer"/>
    <w:uiPriority w:val="99"/>
    <w:rsid w:val="0046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1276">
      <w:bodyDiv w:val="1"/>
      <w:marLeft w:val="0"/>
      <w:marRight w:val="0"/>
      <w:marTop w:val="0"/>
      <w:marBottom w:val="0"/>
      <w:divBdr>
        <w:top w:val="none" w:sz="0" w:space="0" w:color="auto"/>
        <w:left w:val="none" w:sz="0" w:space="0" w:color="auto"/>
        <w:bottom w:val="none" w:sz="0" w:space="0" w:color="auto"/>
        <w:right w:val="none" w:sz="0" w:space="0" w:color="auto"/>
      </w:divBdr>
    </w:div>
    <w:div w:id="147750805">
      <w:bodyDiv w:val="1"/>
      <w:marLeft w:val="0"/>
      <w:marRight w:val="0"/>
      <w:marTop w:val="0"/>
      <w:marBottom w:val="0"/>
      <w:divBdr>
        <w:top w:val="none" w:sz="0" w:space="0" w:color="auto"/>
        <w:left w:val="none" w:sz="0" w:space="0" w:color="auto"/>
        <w:bottom w:val="none" w:sz="0" w:space="0" w:color="auto"/>
        <w:right w:val="none" w:sz="0" w:space="0" w:color="auto"/>
      </w:divBdr>
    </w:div>
    <w:div w:id="224032773">
      <w:bodyDiv w:val="1"/>
      <w:marLeft w:val="0"/>
      <w:marRight w:val="0"/>
      <w:marTop w:val="0"/>
      <w:marBottom w:val="0"/>
      <w:divBdr>
        <w:top w:val="none" w:sz="0" w:space="0" w:color="auto"/>
        <w:left w:val="none" w:sz="0" w:space="0" w:color="auto"/>
        <w:bottom w:val="none" w:sz="0" w:space="0" w:color="auto"/>
        <w:right w:val="none" w:sz="0" w:space="0" w:color="auto"/>
      </w:divBdr>
    </w:div>
    <w:div w:id="230046576">
      <w:bodyDiv w:val="1"/>
      <w:marLeft w:val="0"/>
      <w:marRight w:val="0"/>
      <w:marTop w:val="0"/>
      <w:marBottom w:val="0"/>
      <w:divBdr>
        <w:top w:val="none" w:sz="0" w:space="0" w:color="auto"/>
        <w:left w:val="none" w:sz="0" w:space="0" w:color="auto"/>
        <w:bottom w:val="none" w:sz="0" w:space="0" w:color="auto"/>
        <w:right w:val="none" w:sz="0" w:space="0" w:color="auto"/>
      </w:divBdr>
    </w:div>
    <w:div w:id="233710275">
      <w:bodyDiv w:val="1"/>
      <w:marLeft w:val="0"/>
      <w:marRight w:val="0"/>
      <w:marTop w:val="0"/>
      <w:marBottom w:val="0"/>
      <w:divBdr>
        <w:top w:val="none" w:sz="0" w:space="0" w:color="auto"/>
        <w:left w:val="none" w:sz="0" w:space="0" w:color="auto"/>
        <w:bottom w:val="none" w:sz="0" w:space="0" w:color="auto"/>
        <w:right w:val="none" w:sz="0" w:space="0" w:color="auto"/>
      </w:divBdr>
    </w:div>
    <w:div w:id="281034772">
      <w:bodyDiv w:val="1"/>
      <w:marLeft w:val="0"/>
      <w:marRight w:val="0"/>
      <w:marTop w:val="0"/>
      <w:marBottom w:val="0"/>
      <w:divBdr>
        <w:top w:val="none" w:sz="0" w:space="0" w:color="auto"/>
        <w:left w:val="none" w:sz="0" w:space="0" w:color="auto"/>
        <w:bottom w:val="none" w:sz="0" w:space="0" w:color="auto"/>
        <w:right w:val="none" w:sz="0" w:space="0" w:color="auto"/>
      </w:divBdr>
    </w:div>
    <w:div w:id="302121501">
      <w:bodyDiv w:val="1"/>
      <w:marLeft w:val="0"/>
      <w:marRight w:val="0"/>
      <w:marTop w:val="0"/>
      <w:marBottom w:val="0"/>
      <w:divBdr>
        <w:top w:val="none" w:sz="0" w:space="0" w:color="auto"/>
        <w:left w:val="none" w:sz="0" w:space="0" w:color="auto"/>
        <w:bottom w:val="none" w:sz="0" w:space="0" w:color="auto"/>
        <w:right w:val="none" w:sz="0" w:space="0" w:color="auto"/>
      </w:divBdr>
    </w:div>
    <w:div w:id="306788731">
      <w:bodyDiv w:val="1"/>
      <w:marLeft w:val="0"/>
      <w:marRight w:val="0"/>
      <w:marTop w:val="0"/>
      <w:marBottom w:val="0"/>
      <w:divBdr>
        <w:top w:val="none" w:sz="0" w:space="0" w:color="auto"/>
        <w:left w:val="none" w:sz="0" w:space="0" w:color="auto"/>
        <w:bottom w:val="none" w:sz="0" w:space="0" w:color="auto"/>
        <w:right w:val="none" w:sz="0" w:space="0" w:color="auto"/>
      </w:divBdr>
    </w:div>
    <w:div w:id="307049935">
      <w:bodyDiv w:val="1"/>
      <w:marLeft w:val="0"/>
      <w:marRight w:val="0"/>
      <w:marTop w:val="0"/>
      <w:marBottom w:val="0"/>
      <w:divBdr>
        <w:top w:val="none" w:sz="0" w:space="0" w:color="auto"/>
        <w:left w:val="none" w:sz="0" w:space="0" w:color="auto"/>
        <w:bottom w:val="none" w:sz="0" w:space="0" w:color="auto"/>
        <w:right w:val="none" w:sz="0" w:space="0" w:color="auto"/>
      </w:divBdr>
    </w:div>
    <w:div w:id="413674412">
      <w:bodyDiv w:val="1"/>
      <w:marLeft w:val="0"/>
      <w:marRight w:val="0"/>
      <w:marTop w:val="0"/>
      <w:marBottom w:val="0"/>
      <w:divBdr>
        <w:top w:val="none" w:sz="0" w:space="0" w:color="auto"/>
        <w:left w:val="none" w:sz="0" w:space="0" w:color="auto"/>
        <w:bottom w:val="none" w:sz="0" w:space="0" w:color="auto"/>
        <w:right w:val="none" w:sz="0" w:space="0" w:color="auto"/>
      </w:divBdr>
    </w:div>
    <w:div w:id="477065888">
      <w:bodyDiv w:val="1"/>
      <w:marLeft w:val="0"/>
      <w:marRight w:val="0"/>
      <w:marTop w:val="0"/>
      <w:marBottom w:val="0"/>
      <w:divBdr>
        <w:top w:val="none" w:sz="0" w:space="0" w:color="auto"/>
        <w:left w:val="none" w:sz="0" w:space="0" w:color="auto"/>
        <w:bottom w:val="none" w:sz="0" w:space="0" w:color="auto"/>
        <w:right w:val="none" w:sz="0" w:space="0" w:color="auto"/>
      </w:divBdr>
    </w:div>
    <w:div w:id="505172497">
      <w:bodyDiv w:val="1"/>
      <w:marLeft w:val="0"/>
      <w:marRight w:val="0"/>
      <w:marTop w:val="0"/>
      <w:marBottom w:val="0"/>
      <w:divBdr>
        <w:top w:val="none" w:sz="0" w:space="0" w:color="auto"/>
        <w:left w:val="none" w:sz="0" w:space="0" w:color="auto"/>
        <w:bottom w:val="none" w:sz="0" w:space="0" w:color="auto"/>
        <w:right w:val="none" w:sz="0" w:space="0" w:color="auto"/>
      </w:divBdr>
    </w:div>
    <w:div w:id="535001246">
      <w:bodyDiv w:val="1"/>
      <w:marLeft w:val="0"/>
      <w:marRight w:val="0"/>
      <w:marTop w:val="0"/>
      <w:marBottom w:val="0"/>
      <w:divBdr>
        <w:top w:val="none" w:sz="0" w:space="0" w:color="auto"/>
        <w:left w:val="none" w:sz="0" w:space="0" w:color="auto"/>
        <w:bottom w:val="none" w:sz="0" w:space="0" w:color="auto"/>
        <w:right w:val="none" w:sz="0" w:space="0" w:color="auto"/>
      </w:divBdr>
    </w:div>
    <w:div w:id="611861562">
      <w:bodyDiv w:val="1"/>
      <w:marLeft w:val="0"/>
      <w:marRight w:val="0"/>
      <w:marTop w:val="0"/>
      <w:marBottom w:val="0"/>
      <w:divBdr>
        <w:top w:val="none" w:sz="0" w:space="0" w:color="auto"/>
        <w:left w:val="none" w:sz="0" w:space="0" w:color="auto"/>
        <w:bottom w:val="none" w:sz="0" w:space="0" w:color="auto"/>
        <w:right w:val="none" w:sz="0" w:space="0" w:color="auto"/>
      </w:divBdr>
    </w:div>
    <w:div w:id="620576845">
      <w:bodyDiv w:val="1"/>
      <w:marLeft w:val="0"/>
      <w:marRight w:val="0"/>
      <w:marTop w:val="0"/>
      <w:marBottom w:val="0"/>
      <w:divBdr>
        <w:top w:val="none" w:sz="0" w:space="0" w:color="auto"/>
        <w:left w:val="none" w:sz="0" w:space="0" w:color="auto"/>
        <w:bottom w:val="none" w:sz="0" w:space="0" w:color="auto"/>
        <w:right w:val="none" w:sz="0" w:space="0" w:color="auto"/>
      </w:divBdr>
    </w:div>
    <w:div w:id="622348613">
      <w:bodyDiv w:val="1"/>
      <w:marLeft w:val="0"/>
      <w:marRight w:val="0"/>
      <w:marTop w:val="0"/>
      <w:marBottom w:val="0"/>
      <w:divBdr>
        <w:top w:val="none" w:sz="0" w:space="0" w:color="auto"/>
        <w:left w:val="none" w:sz="0" w:space="0" w:color="auto"/>
        <w:bottom w:val="none" w:sz="0" w:space="0" w:color="auto"/>
        <w:right w:val="none" w:sz="0" w:space="0" w:color="auto"/>
      </w:divBdr>
    </w:div>
    <w:div w:id="706416732">
      <w:bodyDiv w:val="1"/>
      <w:marLeft w:val="0"/>
      <w:marRight w:val="0"/>
      <w:marTop w:val="0"/>
      <w:marBottom w:val="0"/>
      <w:divBdr>
        <w:top w:val="none" w:sz="0" w:space="0" w:color="auto"/>
        <w:left w:val="none" w:sz="0" w:space="0" w:color="auto"/>
        <w:bottom w:val="none" w:sz="0" w:space="0" w:color="auto"/>
        <w:right w:val="none" w:sz="0" w:space="0" w:color="auto"/>
      </w:divBdr>
    </w:div>
    <w:div w:id="781151202">
      <w:bodyDiv w:val="1"/>
      <w:marLeft w:val="0"/>
      <w:marRight w:val="0"/>
      <w:marTop w:val="0"/>
      <w:marBottom w:val="0"/>
      <w:divBdr>
        <w:top w:val="none" w:sz="0" w:space="0" w:color="auto"/>
        <w:left w:val="none" w:sz="0" w:space="0" w:color="auto"/>
        <w:bottom w:val="none" w:sz="0" w:space="0" w:color="auto"/>
        <w:right w:val="none" w:sz="0" w:space="0" w:color="auto"/>
      </w:divBdr>
    </w:div>
    <w:div w:id="841428399">
      <w:bodyDiv w:val="1"/>
      <w:marLeft w:val="0"/>
      <w:marRight w:val="0"/>
      <w:marTop w:val="0"/>
      <w:marBottom w:val="0"/>
      <w:divBdr>
        <w:top w:val="none" w:sz="0" w:space="0" w:color="auto"/>
        <w:left w:val="none" w:sz="0" w:space="0" w:color="auto"/>
        <w:bottom w:val="none" w:sz="0" w:space="0" w:color="auto"/>
        <w:right w:val="none" w:sz="0" w:space="0" w:color="auto"/>
      </w:divBdr>
    </w:div>
    <w:div w:id="853349392">
      <w:bodyDiv w:val="1"/>
      <w:marLeft w:val="0"/>
      <w:marRight w:val="0"/>
      <w:marTop w:val="0"/>
      <w:marBottom w:val="0"/>
      <w:divBdr>
        <w:top w:val="none" w:sz="0" w:space="0" w:color="auto"/>
        <w:left w:val="none" w:sz="0" w:space="0" w:color="auto"/>
        <w:bottom w:val="none" w:sz="0" w:space="0" w:color="auto"/>
        <w:right w:val="none" w:sz="0" w:space="0" w:color="auto"/>
      </w:divBdr>
    </w:div>
    <w:div w:id="960575984">
      <w:bodyDiv w:val="1"/>
      <w:marLeft w:val="0"/>
      <w:marRight w:val="0"/>
      <w:marTop w:val="0"/>
      <w:marBottom w:val="0"/>
      <w:divBdr>
        <w:top w:val="none" w:sz="0" w:space="0" w:color="auto"/>
        <w:left w:val="none" w:sz="0" w:space="0" w:color="auto"/>
        <w:bottom w:val="none" w:sz="0" w:space="0" w:color="auto"/>
        <w:right w:val="none" w:sz="0" w:space="0" w:color="auto"/>
      </w:divBdr>
    </w:div>
    <w:div w:id="992563444">
      <w:bodyDiv w:val="1"/>
      <w:marLeft w:val="0"/>
      <w:marRight w:val="0"/>
      <w:marTop w:val="0"/>
      <w:marBottom w:val="0"/>
      <w:divBdr>
        <w:top w:val="none" w:sz="0" w:space="0" w:color="auto"/>
        <w:left w:val="none" w:sz="0" w:space="0" w:color="auto"/>
        <w:bottom w:val="none" w:sz="0" w:space="0" w:color="auto"/>
        <w:right w:val="none" w:sz="0" w:space="0" w:color="auto"/>
      </w:divBdr>
    </w:div>
    <w:div w:id="1030035450">
      <w:bodyDiv w:val="1"/>
      <w:marLeft w:val="0"/>
      <w:marRight w:val="0"/>
      <w:marTop w:val="0"/>
      <w:marBottom w:val="0"/>
      <w:divBdr>
        <w:top w:val="none" w:sz="0" w:space="0" w:color="auto"/>
        <w:left w:val="none" w:sz="0" w:space="0" w:color="auto"/>
        <w:bottom w:val="none" w:sz="0" w:space="0" w:color="auto"/>
        <w:right w:val="none" w:sz="0" w:space="0" w:color="auto"/>
      </w:divBdr>
    </w:div>
    <w:div w:id="1043214078">
      <w:bodyDiv w:val="1"/>
      <w:marLeft w:val="0"/>
      <w:marRight w:val="0"/>
      <w:marTop w:val="0"/>
      <w:marBottom w:val="0"/>
      <w:divBdr>
        <w:top w:val="none" w:sz="0" w:space="0" w:color="auto"/>
        <w:left w:val="none" w:sz="0" w:space="0" w:color="auto"/>
        <w:bottom w:val="none" w:sz="0" w:space="0" w:color="auto"/>
        <w:right w:val="none" w:sz="0" w:space="0" w:color="auto"/>
      </w:divBdr>
    </w:div>
    <w:div w:id="1076167304">
      <w:bodyDiv w:val="1"/>
      <w:marLeft w:val="0"/>
      <w:marRight w:val="0"/>
      <w:marTop w:val="0"/>
      <w:marBottom w:val="0"/>
      <w:divBdr>
        <w:top w:val="none" w:sz="0" w:space="0" w:color="auto"/>
        <w:left w:val="none" w:sz="0" w:space="0" w:color="auto"/>
        <w:bottom w:val="none" w:sz="0" w:space="0" w:color="auto"/>
        <w:right w:val="none" w:sz="0" w:space="0" w:color="auto"/>
      </w:divBdr>
    </w:div>
    <w:div w:id="1109857237">
      <w:bodyDiv w:val="1"/>
      <w:marLeft w:val="0"/>
      <w:marRight w:val="0"/>
      <w:marTop w:val="0"/>
      <w:marBottom w:val="0"/>
      <w:divBdr>
        <w:top w:val="none" w:sz="0" w:space="0" w:color="auto"/>
        <w:left w:val="none" w:sz="0" w:space="0" w:color="auto"/>
        <w:bottom w:val="none" w:sz="0" w:space="0" w:color="auto"/>
        <w:right w:val="none" w:sz="0" w:space="0" w:color="auto"/>
      </w:divBdr>
    </w:div>
    <w:div w:id="1132600877">
      <w:bodyDiv w:val="1"/>
      <w:marLeft w:val="0"/>
      <w:marRight w:val="0"/>
      <w:marTop w:val="0"/>
      <w:marBottom w:val="0"/>
      <w:divBdr>
        <w:top w:val="none" w:sz="0" w:space="0" w:color="auto"/>
        <w:left w:val="none" w:sz="0" w:space="0" w:color="auto"/>
        <w:bottom w:val="none" w:sz="0" w:space="0" w:color="auto"/>
        <w:right w:val="none" w:sz="0" w:space="0" w:color="auto"/>
      </w:divBdr>
    </w:div>
    <w:div w:id="1134787438">
      <w:bodyDiv w:val="1"/>
      <w:marLeft w:val="0"/>
      <w:marRight w:val="0"/>
      <w:marTop w:val="0"/>
      <w:marBottom w:val="0"/>
      <w:divBdr>
        <w:top w:val="none" w:sz="0" w:space="0" w:color="auto"/>
        <w:left w:val="none" w:sz="0" w:space="0" w:color="auto"/>
        <w:bottom w:val="none" w:sz="0" w:space="0" w:color="auto"/>
        <w:right w:val="none" w:sz="0" w:space="0" w:color="auto"/>
      </w:divBdr>
    </w:div>
    <w:div w:id="1144931918">
      <w:bodyDiv w:val="1"/>
      <w:marLeft w:val="0"/>
      <w:marRight w:val="0"/>
      <w:marTop w:val="0"/>
      <w:marBottom w:val="0"/>
      <w:divBdr>
        <w:top w:val="none" w:sz="0" w:space="0" w:color="auto"/>
        <w:left w:val="none" w:sz="0" w:space="0" w:color="auto"/>
        <w:bottom w:val="none" w:sz="0" w:space="0" w:color="auto"/>
        <w:right w:val="none" w:sz="0" w:space="0" w:color="auto"/>
      </w:divBdr>
    </w:div>
    <w:div w:id="1206063125">
      <w:bodyDiv w:val="1"/>
      <w:marLeft w:val="0"/>
      <w:marRight w:val="0"/>
      <w:marTop w:val="0"/>
      <w:marBottom w:val="0"/>
      <w:divBdr>
        <w:top w:val="none" w:sz="0" w:space="0" w:color="auto"/>
        <w:left w:val="none" w:sz="0" w:space="0" w:color="auto"/>
        <w:bottom w:val="none" w:sz="0" w:space="0" w:color="auto"/>
        <w:right w:val="none" w:sz="0" w:space="0" w:color="auto"/>
      </w:divBdr>
    </w:div>
    <w:div w:id="1240359414">
      <w:bodyDiv w:val="1"/>
      <w:marLeft w:val="0"/>
      <w:marRight w:val="0"/>
      <w:marTop w:val="0"/>
      <w:marBottom w:val="0"/>
      <w:divBdr>
        <w:top w:val="none" w:sz="0" w:space="0" w:color="auto"/>
        <w:left w:val="none" w:sz="0" w:space="0" w:color="auto"/>
        <w:bottom w:val="none" w:sz="0" w:space="0" w:color="auto"/>
        <w:right w:val="none" w:sz="0" w:space="0" w:color="auto"/>
      </w:divBdr>
    </w:div>
    <w:div w:id="1301036247">
      <w:bodyDiv w:val="1"/>
      <w:marLeft w:val="0"/>
      <w:marRight w:val="0"/>
      <w:marTop w:val="0"/>
      <w:marBottom w:val="0"/>
      <w:divBdr>
        <w:top w:val="none" w:sz="0" w:space="0" w:color="auto"/>
        <w:left w:val="none" w:sz="0" w:space="0" w:color="auto"/>
        <w:bottom w:val="none" w:sz="0" w:space="0" w:color="auto"/>
        <w:right w:val="none" w:sz="0" w:space="0" w:color="auto"/>
      </w:divBdr>
    </w:div>
    <w:div w:id="1341201100">
      <w:bodyDiv w:val="1"/>
      <w:marLeft w:val="0"/>
      <w:marRight w:val="0"/>
      <w:marTop w:val="0"/>
      <w:marBottom w:val="0"/>
      <w:divBdr>
        <w:top w:val="none" w:sz="0" w:space="0" w:color="auto"/>
        <w:left w:val="none" w:sz="0" w:space="0" w:color="auto"/>
        <w:bottom w:val="none" w:sz="0" w:space="0" w:color="auto"/>
        <w:right w:val="none" w:sz="0" w:space="0" w:color="auto"/>
      </w:divBdr>
    </w:div>
    <w:div w:id="1381705140">
      <w:bodyDiv w:val="1"/>
      <w:marLeft w:val="0"/>
      <w:marRight w:val="0"/>
      <w:marTop w:val="0"/>
      <w:marBottom w:val="0"/>
      <w:divBdr>
        <w:top w:val="none" w:sz="0" w:space="0" w:color="auto"/>
        <w:left w:val="none" w:sz="0" w:space="0" w:color="auto"/>
        <w:bottom w:val="none" w:sz="0" w:space="0" w:color="auto"/>
        <w:right w:val="none" w:sz="0" w:space="0" w:color="auto"/>
      </w:divBdr>
    </w:div>
    <w:div w:id="1383942187">
      <w:bodyDiv w:val="1"/>
      <w:marLeft w:val="0"/>
      <w:marRight w:val="0"/>
      <w:marTop w:val="0"/>
      <w:marBottom w:val="0"/>
      <w:divBdr>
        <w:top w:val="none" w:sz="0" w:space="0" w:color="auto"/>
        <w:left w:val="none" w:sz="0" w:space="0" w:color="auto"/>
        <w:bottom w:val="none" w:sz="0" w:space="0" w:color="auto"/>
        <w:right w:val="none" w:sz="0" w:space="0" w:color="auto"/>
      </w:divBdr>
    </w:div>
    <w:div w:id="1468745673">
      <w:bodyDiv w:val="1"/>
      <w:marLeft w:val="0"/>
      <w:marRight w:val="0"/>
      <w:marTop w:val="0"/>
      <w:marBottom w:val="0"/>
      <w:divBdr>
        <w:top w:val="none" w:sz="0" w:space="0" w:color="auto"/>
        <w:left w:val="none" w:sz="0" w:space="0" w:color="auto"/>
        <w:bottom w:val="none" w:sz="0" w:space="0" w:color="auto"/>
        <w:right w:val="none" w:sz="0" w:space="0" w:color="auto"/>
      </w:divBdr>
    </w:div>
    <w:div w:id="1489596523">
      <w:bodyDiv w:val="1"/>
      <w:marLeft w:val="0"/>
      <w:marRight w:val="0"/>
      <w:marTop w:val="0"/>
      <w:marBottom w:val="0"/>
      <w:divBdr>
        <w:top w:val="none" w:sz="0" w:space="0" w:color="auto"/>
        <w:left w:val="none" w:sz="0" w:space="0" w:color="auto"/>
        <w:bottom w:val="none" w:sz="0" w:space="0" w:color="auto"/>
        <w:right w:val="none" w:sz="0" w:space="0" w:color="auto"/>
      </w:divBdr>
    </w:div>
    <w:div w:id="1521240023">
      <w:bodyDiv w:val="1"/>
      <w:marLeft w:val="0"/>
      <w:marRight w:val="0"/>
      <w:marTop w:val="0"/>
      <w:marBottom w:val="0"/>
      <w:divBdr>
        <w:top w:val="none" w:sz="0" w:space="0" w:color="auto"/>
        <w:left w:val="none" w:sz="0" w:space="0" w:color="auto"/>
        <w:bottom w:val="none" w:sz="0" w:space="0" w:color="auto"/>
        <w:right w:val="none" w:sz="0" w:space="0" w:color="auto"/>
      </w:divBdr>
    </w:div>
    <w:div w:id="153269167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7">
          <w:marLeft w:val="0"/>
          <w:marRight w:val="0"/>
          <w:marTop w:val="0"/>
          <w:marBottom w:val="0"/>
          <w:divBdr>
            <w:top w:val="none" w:sz="0" w:space="0" w:color="auto"/>
            <w:left w:val="none" w:sz="0" w:space="0" w:color="auto"/>
            <w:bottom w:val="dashed" w:sz="6" w:space="0" w:color="4F4C4B"/>
            <w:right w:val="none" w:sz="0" w:space="0" w:color="auto"/>
          </w:divBdr>
          <w:divsChild>
            <w:div w:id="289215924">
              <w:marLeft w:val="300"/>
              <w:marRight w:val="0"/>
              <w:marTop w:val="0"/>
              <w:marBottom w:val="0"/>
              <w:divBdr>
                <w:top w:val="none" w:sz="0" w:space="0" w:color="auto"/>
                <w:left w:val="none" w:sz="0" w:space="0" w:color="auto"/>
                <w:bottom w:val="none" w:sz="0" w:space="0" w:color="auto"/>
                <w:right w:val="none" w:sz="0" w:space="0" w:color="auto"/>
              </w:divBdr>
            </w:div>
          </w:divsChild>
        </w:div>
        <w:div w:id="7409562">
          <w:marLeft w:val="0"/>
          <w:marRight w:val="0"/>
          <w:marTop w:val="0"/>
          <w:marBottom w:val="0"/>
          <w:divBdr>
            <w:top w:val="none" w:sz="0" w:space="0" w:color="auto"/>
            <w:left w:val="none" w:sz="0" w:space="0" w:color="auto"/>
            <w:bottom w:val="dashed" w:sz="6" w:space="0" w:color="4F4C4B"/>
            <w:right w:val="none" w:sz="0" w:space="0" w:color="auto"/>
          </w:divBdr>
          <w:divsChild>
            <w:div w:id="1020009374">
              <w:marLeft w:val="300"/>
              <w:marRight w:val="0"/>
              <w:marTop w:val="0"/>
              <w:marBottom w:val="0"/>
              <w:divBdr>
                <w:top w:val="none" w:sz="0" w:space="0" w:color="auto"/>
                <w:left w:val="none" w:sz="0" w:space="0" w:color="auto"/>
                <w:bottom w:val="none" w:sz="0" w:space="0" w:color="auto"/>
                <w:right w:val="none" w:sz="0" w:space="0" w:color="auto"/>
              </w:divBdr>
            </w:div>
          </w:divsChild>
        </w:div>
        <w:div w:id="110054755">
          <w:marLeft w:val="0"/>
          <w:marRight w:val="0"/>
          <w:marTop w:val="0"/>
          <w:marBottom w:val="0"/>
          <w:divBdr>
            <w:top w:val="none" w:sz="0" w:space="0" w:color="auto"/>
            <w:left w:val="none" w:sz="0" w:space="0" w:color="auto"/>
            <w:bottom w:val="dashed" w:sz="6" w:space="0" w:color="4F4C4B"/>
            <w:right w:val="none" w:sz="0" w:space="0" w:color="auto"/>
          </w:divBdr>
          <w:divsChild>
            <w:div w:id="170609356">
              <w:marLeft w:val="300"/>
              <w:marRight w:val="0"/>
              <w:marTop w:val="0"/>
              <w:marBottom w:val="0"/>
              <w:divBdr>
                <w:top w:val="none" w:sz="0" w:space="0" w:color="auto"/>
                <w:left w:val="none" w:sz="0" w:space="0" w:color="auto"/>
                <w:bottom w:val="none" w:sz="0" w:space="0" w:color="auto"/>
                <w:right w:val="none" w:sz="0" w:space="0" w:color="auto"/>
              </w:divBdr>
            </w:div>
          </w:divsChild>
        </w:div>
        <w:div w:id="303051644">
          <w:marLeft w:val="0"/>
          <w:marRight w:val="0"/>
          <w:marTop w:val="0"/>
          <w:marBottom w:val="0"/>
          <w:divBdr>
            <w:top w:val="none" w:sz="0" w:space="0" w:color="auto"/>
            <w:left w:val="none" w:sz="0" w:space="0" w:color="auto"/>
            <w:bottom w:val="dashed" w:sz="6" w:space="0" w:color="4F4C4B"/>
            <w:right w:val="none" w:sz="0" w:space="0" w:color="auto"/>
          </w:divBdr>
          <w:divsChild>
            <w:div w:id="630019495">
              <w:marLeft w:val="300"/>
              <w:marRight w:val="0"/>
              <w:marTop w:val="0"/>
              <w:marBottom w:val="0"/>
              <w:divBdr>
                <w:top w:val="none" w:sz="0" w:space="0" w:color="auto"/>
                <w:left w:val="none" w:sz="0" w:space="0" w:color="auto"/>
                <w:bottom w:val="none" w:sz="0" w:space="0" w:color="auto"/>
                <w:right w:val="none" w:sz="0" w:space="0" w:color="auto"/>
              </w:divBdr>
            </w:div>
          </w:divsChild>
        </w:div>
        <w:div w:id="1510486109">
          <w:marLeft w:val="0"/>
          <w:marRight w:val="0"/>
          <w:marTop w:val="0"/>
          <w:marBottom w:val="0"/>
          <w:divBdr>
            <w:top w:val="none" w:sz="0" w:space="0" w:color="auto"/>
            <w:left w:val="none" w:sz="0" w:space="0" w:color="auto"/>
            <w:bottom w:val="dashed" w:sz="6" w:space="0" w:color="4F4C4B"/>
            <w:right w:val="none" w:sz="0" w:space="0" w:color="auto"/>
          </w:divBdr>
          <w:divsChild>
            <w:div w:id="24137833">
              <w:marLeft w:val="300"/>
              <w:marRight w:val="0"/>
              <w:marTop w:val="0"/>
              <w:marBottom w:val="0"/>
              <w:divBdr>
                <w:top w:val="none" w:sz="0" w:space="0" w:color="auto"/>
                <w:left w:val="none" w:sz="0" w:space="0" w:color="auto"/>
                <w:bottom w:val="none" w:sz="0" w:space="0" w:color="auto"/>
                <w:right w:val="none" w:sz="0" w:space="0" w:color="auto"/>
              </w:divBdr>
            </w:div>
          </w:divsChild>
        </w:div>
        <w:div w:id="2117560770">
          <w:marLeft w:val="0"/>
          <w:marRight w:val="0"/>
          <w:marTop w:val="0"/>
          <w:marBottom w:val="0"/>
          <w:divBdr>
            <w:top w:val="none" w:sz="0" w:space="0" w:color="auto"/>
            <w:left w:val="none" w:sz="0" w:space="0" w:color="auto"/>
            <w:bottom w:val="dashed" w:sz="6" w:space="0" w:color="4F4C4B"/>
            <w:right w:val="none" w:sz="0" w:space="0" w:color="auto"/>
          </w:divBdr>
          <w:divsChild>
            <w:div w:id="1979801994">
              <w:marLeft w:val="300"/>
              <w:marRight w:val="0"/>
              <w:marTop w:val="0"/>
              <w:marBottom w:val="0"/>
              <w:divBdr>
                <w:top w:val="none" w:sz="0" w:space="0" w:color="auto"/>
                <w:left w:val="none" w:sz="0" w:space="0" w:color="auto"/>
                <w:bottom w:val="none" w:sz="0" w:space="0" w:color="auto"/>
                <w:right w:val="none" w:sz="0" w:space="0" w:color="auto"/>
              </w:divBdr>
            </w:div>
          </w:divsChild>
        </w:div>
        <w:div w:id="1457795976">
          <w:marLeft w:val="0"/>
          <w:marRight w:val="0"/>
          <w:marTop w:val="0"/>
          <w:marBottom w:val="0"/>
          <w:divBdr>
            <w:top w:val="none" w:sz="0" w:space="0" w:color="auto"/>
            <w:left w:val="none" w:sz="0" w:space="0" w:color="auto"/>
            <w:bottom w:val="dashed" w:sz="6" w:space="0" w:color="4F4C4B"/>
            <w:right w:val="none" w:sz="0" w:space="0" w:color="auto"/>
          </w:divBdr>
          <w:divsChild>
            <w:div w:id="1711495280">
              <w:marLeft w:val="300"/>
              <w:marRight w:val="0"/>
              <w:marTop w:val="0"/>
              <w:marBottom w:val="0"/>
              <w:divBdr>
                <w:top w:val="none" w:sz="0" w:space="0" w:color="auto"/>
                <w:left w:val="none" w:sz="0" w:space="0" w:color="auto"/>
                <w:bottom w:val="none" w:sz="0" w:space="0" w:color="auto"/>
                <w:right w:val="none" w:sz="0" w:space="0" w:color="auto"/>
              </w:divBdr>
            </w:div>
          </w:divsChild>
        </w:div>
        <w:div w:id="1838039277">
          <w:marLeft w:val="0"/>
          <w:marRight w:val="0"/>
          <w:marTop w:val="0"/>
          <w:marBottom w:val="0"/>
          <w:divBdr>
            <w:top w:val="none" w:sz="0" w:space="0" w:color="auto"/>
            <w:left w:val="none" w:sz="0" w:space="0" w:color="auto"/>
            <w:bottom w:val="dashed" w:sz="6" w:space="0" w:color="4F4C4B"/>
            <w:right w:val="none" w:sz="0" w:space="0" w:color="auto"/>
          </w:divBdr>
        </w:div>
      </w:divsChild>
    </w:div>
    <w:div w:id="1542092670">
      <w:bodyDiv w:val="1"/>
      <w:marLeft w:val="0"/>
      <w:marRight w:val="0"/>
      <w:marTop w:val="0"/>
      <w:marBottom w:val="0"/>
      <w:divBdr>
        <w:top w:val="none" w:sz="0" w:space="0" w:color="auto"/>
        <w:left w:val="none" w:sz="0" w:space="0" w:color="auto"/>
        <w:bottom w:val="none" w:sz="0" w:space="0" w:color="auto"/>
        <w:right w:val="none" w:sz="0" w:space="0" w:color="auto"/>
      </w:divBdr>
    </w:div>
    <w:div w:id="1550847185">
      <w:bodyDiv w:val="1"/>
      <w:marLeft w:val="0"/>
      <w:marRight w:val="0"/>
      <w:marTop w:val="0"/>
      <w:marBottom w:val="0"/>
      <w:divBdr>
        <w:top w:val="none" w:sz="0" w:space="0" w:color="auto"/>
        <w:left w:val="none" w:sz="0" w:space="0" w:color="auto"/>
        <w:bottom w:val="none" w:sz="0" w:space="0" w:color="auto"/>
        <w:right w:val="none" w:sz="0" w:space="0" w:color="auto"/>
      </w:divBdr>
    </w:div>
    <w:div w:id="1578515706">
      <w:bodyDiv w:val="1"/>
      <w:marLeft w:val="0"/>
      <w:marRight w:val="0"/>
      <w:marTop w:val="0"/>
      <w:marBottom w:val="0"/>
      <w:divBdr>
        <w:top w:val="none" w:sz="0" w:space="0" w:color="auto"/>
        <w:left w:val="none" w:sz="0" w:space="0" w:color="auto"/>
        <w:bottom w:val="none" w:sz="0" w:space="0" w:color="auto"/>
        <w:right w:val="none" w:sz="0" w:space="0" w:color="auto"/>
      </w:divBdr>
    </w:div>
    <w:div w:id="1619675428">
      <w:bodyDiv w:val="1"/>
      <w:marLeft w:val="0"/>
      <w:marRight w:val="0"/>
      <w:marTop w:val="0"/>
      <w:marBottom w:val="0"/>
      <w:divBdr>
        <w:top w:val="none" w:sz="0" w:space="0" w:color="auto"/>
        <w:left w:val="none" w:sz="0" w:space="0" w:color="auto"/>
        <w:bottom w:val="none" w:sz="0" w:space="0" w:color="auto"/>
        <w:right w:val="none" w:sz="0" w:space="0" w:color="auto"/>
      </w:divBdr>
    </w:div>
    <w:div w:id="1637685144">
      <w:bodyDiv w:val="1"/>
      <w:marLeft w:val="0"/>
      <w:marRight w:val="0"/>
      <w:marTop w:val="0"/>
      <w:marBottom w:val="0"/>
      <w:divBdr>
        <w:top w:val="none" w:sz="0" w:space="0" w:color="auto"/>
        <w:left w:val="none" w:sz="0" w:space="0" w:color="auto"/>
        <w:bottom w:val="none" w:sz="0" w:space="0" w:color="auto"/>
        <w:right w:val="none" w:sz="0" w:space="0" w:color="auto"/>
      </w:divBdr>
    </w:div>
    <w:div w:id="1658416651">
      <w:bodyDiv w:val="1"/>
      <w:marLeft w:val="0"/>
      <w:marRight w:val="0"/>
      <w:marTop w:val="0"/>
      <w:marBottom w:val="0"/>
      <w:divBdr>
        <w:top w:val="none" w:sz="0" w:space="0" w:color="auto"/>
        <w:left w:val="none" w:sz="0" w:space="0" w:color="auto"/>
        <w:bottom w:val="none" w:sz="0" w:space="0" w:color="auto"/>
        <w:right w:val="none" w:sz="0" w:space="0" w:color="auto"/>
      </w:divBdr>
    </w:div>
    <w:div w:id="1674339134">
      <w:bodyDiv w:val="1"/>
      <w:marLeft w:val="0"/>
      <w:marRight w:val="0"/>
      <w:marTop w:val="0"/>
      <w:marBottom w:val="0"/>
      <w:divBdr>
        <w:top w:val="none" w:sz="0" w:space="0" w:color="auto"/>
        <w:left w:val="none" w:sz="0" w:space="0" w:color="auto"/>
        <w:bottom w:val="none" w:sz="0" w:space="0" w:color="auto"/>
        <w:right w:val="none" w:sz="0" w:space="0" w:color="auto"/>
      </w:divBdr>
    </w:div>
    <w:div w:id="1704859727">
      <w:bodyDiv w:val="1"/>
      <w:marLeft w:val="0"/>
      <w:marRight w:val="0"/>
      <w:marTop w:val="0"/>
      <w:marBottom w:val="0"/>
      <w:divBdr>
        <w:top w:val="none" w:sz="0" w:space="0" w:color="auto"/>
        <w:left w:val="none" w:sz="0" w:space="0" w:color="auto"/>
        <w:bottom w:val="none" w:sz="0" w:space="0" w:color="auto"/>
        <w:right w:val="none" w:sz="0" w:space="0" w:color="auto"/>
      </w:divBdr>
    </w:div>
    <w:div w:id="1717122220">
      <w:bodyDiv w:val="1"/>
      <w:marLeft w:val="0"/>
      <w:marRight w:val="0"/>
      <w:marTop w:val="0"/>
      <w:marBottom w:val="0"/>
      <w:divBdr>
        <w:top w:val="none" w:sz="0" w:space="0" w:color="auto"/>
        <w:left w:val="none" w:sz="0" w:space="0" w:color="auto"/>
        <w:bottom w:val="none" w:sz="0" w:space="0" w:color="auto"/>
        <w:right w:val="none" w:sz="0" w:space="0" w:color="auto"/>
      </w:divBdr>
    </w:div>
    <w:div w:id="1720589549">
      <w:bodyDiv w:val="1"/>
      <w:marLeft w:val="0"/>
      <w:marRight w:val="0"/>
      <w:marTop w:val="0"/>
      <w:marBottom w:val="0"/>
      <w:divBdr>
        <w:top w:val="none" w:sz="0" w:space="0" w:color="auto"/>
        <w:left w:val="none" w:sz="0" w:space="0" w:color="auto"/>
        <w:bottom w:val="none" w:sz="0" w:space="0" w:color="auto"/>
        <w:right w:val="none" w:sz="0" w:space="0" w:color="auto"/>
      </w:divBdr>
    </w:div>
    <w:div w:id="1756321898">
      <w:bodyDiv w:val="1"/>
      <w:marLeft w:val="0"/>
      <w:marRight w:val="0"/>
      <w:marTop w:val="0"/>
      <w:marBottom w:val="0"/>
      <w:divBdr>
        <w:top w:val="none" w:sz="0" w:space="0" w:color="auto"/>
        <w:left w:val="none" w:sz="0" w:space="0" w:color="auto"/>
        <w:bottom w:val="none" w:sz="0" w:space="0" w:color="auto"/>
        <w:right w:val="none" w:sz="0" w:space="0" w:color="auto"/>
      </w:divBdr>
    </w:div>
    <w:div w:id="1813598095">
      <w:bodyDiv w:val="1"/>
      <w:marLeft w:val="0"/>
      <w:marRight w:val="0"/>
      <w:marTop w:val="0"/>
      <w:marBottom w:val="0"/>
      <w:divBdr>
        <w:top w:val="none" w:sz="0" w:space="0" w:color="auto"/>
        <w:left w:val="none" w:sz="0" w:space="0" w:color="auto"/>
        <w:bottom w:val="none" w:sz="0" w:space="0" w:color="auto"/>
        <w:right w:val="none" w:sz="0" w:space="0" w:color="auto"/>
      </w:divBdr>
    </w:div>
    <w:div w:id="1824393249">
      <w:bodyDiv w:val="1"/>
      <w:marLeft w:val="0"/>
      <w:marRight w:val="0"/>
      <w:marTop w:val="0"/>
      <w:marBottom w:val="0"/>
      <w:divBdr>
        <w:top w:val="none" w:sz="0" w:space="0" w:color="auto"/>
        <w:left w:val="none" w:sz="0" w:space="0" w:color="auto"/>
        <w:bottom w:val="none" w:sz="0" w:space="0" w:color="auto"/>
        <w:right w:val="none" w:sz="0" w:space="0" w:color="auto"/>
      </w:divBdr>
    </w:div>
    <w:div w:id="1826050984">
      <w:bodyDiv w:val="1"/>
      <w:marLeft w:val="0"/>
      <w:marRight w:val="0"/>
      <w:marTop w:val="0"/>
      <w:marBottom w:val="0"/>
      <w:divBdr>
        <w:top w:val="none" w:sz="0" w:space="0" w:color="auto"/>
        <w:left w:val="none" w:sz="0" w:space="0" w:color="auto"/>
        <w:bottom w:val="none" w:sz="0" w:space="0" w:color="auto"/>
        <w:right w:val="none" w:sz="0" w:space="0" w:color="auto"/>
      </w:divBdr>
    </w:div>
    <w:div w:id="1860654983">
      <w:bodyDiv w:val="1"/>
      <w:marLeft w:val="0"/>
      <w:marRight w:val="0"/>
      <w:marTop w:val="0"/>
      <w:marBottom w:val="0"/>
      <w:divBdr>
        <w:top w:val="none" w:sz="0" w:space="0" w:color="auto"/>
        <w:left w:val="none" w:sz="0" w:space="0" w:color="auto"/>
        <w:bottom w:val="none" w:sz="0" w:space="0" w:color="auto"/>
        <w:right w:val="none" w:sz="0" w:space="0" w:color="auto"/>
      </w:divBdr>
    </w:div>
    <w:div w:id="1860655638">
      <w:bodyDiv w:val="1"/>
      <w:marLeft w:val="0"/>
      <w:marRight w:val="0"/>
      <w:marTop w:val="0"/>
      <w:marBottom w:val="0"/>
      <w:divBdr>
        <w:top w:val="none" w:sz="0" w:space="0" w:color="auto"/>
        <w:left w:val="none" w:sz="0" w:space="0" w:color="auto"/>
        <w:bottom w:val="none" w:sz="0" w:space="0" w:color="auto"/>
        <w:right w:val="none" w:sz="0" w:space="0" w:color="auto"/>
      </w:divBdr>
    </w:div>
    <w:div w:id="1877698378">
      <w:bodyDiv w:val="1"/>
      <w:marLeft w:val="0"/>
      <w:marRight w:val="0"/>
      <w:marTop w:val="0"/>
      <w:marBottom w:val="0"/>
      <w:divBdr>
        <w:top w:val="none" w:sz="0" w:space="0" w:color="auto"/>
        <w:left w:val="none" w:sz="0" w:space="0" w:color="auto"/>
        <w:bottom w:val="none" w:sz="0" w:space="0" w:color="auto"/>
        <w:right w:val="none" w:sz="0" w:space="0" w:color="auto"/>
      </w:divBdr>
    </w:div>
    <w:div w:id="1895853371">
      <w:bodyDiv w:val="1"/>
      <w:marLeft w:val="0"/>
      <w:marRight w:val="0"/>
      <w:marTop w:val="0"/>
      <w:marBottom w:val="0"/>
      <w:divBdr>
        <w:top w:val="none" w:sz="0" w:space="0" w:color="auto"/>
        <w:left w:val="none" w:sz="0" w:space="0" w:color="auto"/>
        <w:bottom w:val="none" w:sz="0" w:space="0" w:color="auto"/>
        <w:right w:val="none" w:sz="0" w:space="0" w:color="auto"/>
      </w:divBdr>
    </w:div>
    <w:div w:id="1907303869">
      <w:bodyDiv w:val="1"/>
      <w:marLeft w:val="0"/>
      <w:marRight w:val="0"/>
      <w:marTop w:val="0"/>
      <w:marBottom w:val="0"/>
      <w:divBdr>
        <w:top w:val="none" w:sz="0" w:space="0" w:color="auto"/>
        <w:left w:val="none" w:sz="0" w:space="0" w:color="auto"/>
        <w:bottom w:val="none" w:sz="0" w:space="0" w:color="auto"/>
        <w:right w:val="none" w:sz="0" w:space="0" w:color="auto"/>
      </w:divBdr>
      <w:divsChild>
        <w:div w:id="949582733">
          <w:marLeft w:val="0"/>
          <w:marRight w:val="0"/>
          <w:marTop w:val="0"/>
          <w:marBottom w:val="0"/>
          <w:divBdr>
            <w:top w:val="none" w:sz="0" w:space="0" w:color="auto"/>
            <w:left w:val="none" w:sz="0" w:space="0" w:color="auto"/>
            <w:bottom w:val="none" w:sz="0" w:space="0" w:color="auto"/>
            <w:right w:val="none" w:sz="0" w:space="0" w:color="auto"/>
          </w:divBdr>
          <w:divsChild>
            <w:div w:id="2071999336">
              <w:marLeft w:val="0"/>
              <w:marRight w:val="0"/>
              <w:marTop w:val="0"/>
              <w:marBottom w:val="0"/>
              <w:divBdr>
                <w:top w:val="none" w:sz="0" w:space="0" w:color="auto"/>
                <w:left w:val="none" w:sz="0" w:space="0" w:color="auto"/>
                <w:bottom w:val="none" w:sz="0" w:space="0" w:color="auto"/>
                <w:right w:val="none" w:sz="0" w:space="0" w:color="auto"/>
              </w:divBdr>
            </w:div>
            <w:div w:id="1084061205">
              <w:marLeft w:val="0"/>
              <w:marRight w:val="0"/>
              <w:marTop w:val="0"/>
              <w:marBottom w:val="0"/>
              <w:divBdr>
                <w:top w:val="none" w:sz="0" w:space="0" w:color="auto"/>
                <w:left w:val="none" w:sz="0" w:space="0" w:color="auto"/>
                <w:bottom w:val="none" w:sz="0" w:space="0" w:color="auto"/>
                <w:right w:val="none" w:sz="0" w:space="0" w:color="auto"/>
              </w:divBdr>
            </w:div>
          </w:divsChild>
        </w:div>
        <w:div w:id="1911117075">
          <w:marLeft w:val="0"/>
          <w:marRight w:val="0"/>
          <w:marTop w:val="0"/>
          <w:marBottom w:val="0"/>
          <w:divBdr>
            <w:top w:val="none" w:sz="0" w:space="0" w:color="auto"/>
            <w:left w:val="none" w:sz="0" w:space="0" w:color="auto"/>
            <w:bottom w:val="none" w:sz="0" w:space="0" w:color="auto"/>
            <w:right w:val="none" w:sz="0" w:space="0" w:color="auto"/>
          </w:divBdr>
        </w:div>
        <w:div w:id="1448037153">
          <w:marLeft w:val="0"/>
          <w:marRight w:val="0"/>
          <w:marTop w:val="0"/>
          <w:marBottom w:val="0"/>
          <w:divBdr>
            <w:top w:val="none" w:sz="0" w:space="0" w:color="auto"/>
            <w:left w:val="none" w:sz="0" w:space="0" w:color="auto"/>
            <w:bottom w:val="none" w:sz="0" w:space="0" w:color="auto"/>
            <w:right w:val="none" w:sz="0" w:space="0" w:color="auto"/>
          </w:divBdr>
        </w:div>
        <w:div w:id="1250388515">
          <w:marLeft w:val="0"/>
          <w:marRight w:val="0"/>
          <w:marTop w:val="0"/>
          <w:marBottom w:val="0"/>
          <w:divBdr>
            <w:top w:val="none" w:sz="0" w:space="0" w:color="auto"/>
            <w:left w:val="none" w:sz="0" w:space="0" w:color="auto"/>
            <w:bottom w:val="none" w:sz="0" w:space="0" w:color="auto"/>
            <w:right w:val="none" w:sz="0" w:space="0" w:color="auto"/>
          </w:divBdr>
        </w:div>
      </w:divsChild>
    </w:div>
    <w:div w:id="1931968023">
      <w:bodyDiv w:val="1"/>
      <w:marLeft w:val="0"/>
      <w:marRight w:val="0"/>
      <w:marTop w:val="0"/>
      <w:marBottom w:val="0"/>
      <w:divBdr>
        <w:top w:val="none" w:sz="0" w:space="0" w:color="auto"/>
        <w:left w:val="none" w:sz="0" w:space="0" w:color="auto"/>
        <w:bottom w:val="none" w:sz="0" w:space="0" w:color="auto"/>
        <w:right w:val="none" w:sz="0" w:space="0" w:color="auto"/>
      </w:divBdr>
    </w:div>
    <w:div w:id="1936748211">
      <w:bodyDiv w:val="1"/>
      <w:marLeft w:val="0"/>
      <w:marRight w:val="0"/>
      <w:marTop w:val="0"/>
      <w:marBottom w:val="0"/>
      <w:divBdr>
        <w:top w:val="none" w:sz="0" w:space="0" w:color="auto"/>
        <w:left w:val="none" w:sz="0" w:space="0" w:color="auto"/>
        <w:bottom w:val="none" w:sz="0" w:space="0" w:color="auto"/>
        <w:right w:val="none" w:sz="0" w:space="0" w:color="auto"/>
      </w:divBdr>
    </w:div>
    <w:div w:id="2047559192">
      <w:bodyDiv w:val="1"/>
      <w:marLeft w:val="0"/>
      <w:marRight w:val="0"/>
      <w:marTop w:val="0"/>
      <w:marBottom w:val="0"/>
      <w:divBdr>
        <w:top w:val="none" w:sz="0" w:space="0" w:color="auto"/>
        <w:left w:val="none" w:sz="0" w:space="0" w:color="auto"/>
        <w:bottom w:val="none" w:sz="0" w:space="0" w:color="auto"/>
        <w:right w:val="none" w:sz="0" w:space="0" w:color="auto"/>
      </w:divBdr>
    </w:div>
    <w:div w:id="2055621393">
      <w:bodyDiv w:val="1"/>
      <w:marLeft w:val="0"/>
      <w:marRight w:val="0"/>
      <w:marTop w:val="0"/>
      <w:marBottom w:val="0"/>
      <w:divBdr>
        <w:top w:val="none" w:sz="0" w:space="0" w:color="auto"/>
        <w:left w:val="none" w:sz="0" w:space="0" w:color="auto"/>
        <w:bottom w:val="none" w:sz="0" w:space="0" w:color="auto"/>
        <w:right w:val="none" w:sz="0" w:space="0" w:color="auto"/>
      </w:divBdr>
    </w:div>
    <w:div w:id="2070834565">
      <w:bodyDiv w:val="1"/>
      <w:marLeft w:val="0"/>
      <w:marRight w:val="0"/>
      <w:marTop w:val="0"/>
      <w:marBottom w:val="0"/>
      <w:divBdr>
        <w:top w:val="none" w:sz="0" w:space="0" w:color="auto"/>
        <w:left w:val="none" w:sz="0" w:space="0" w:color="auto"/>
        <w:bottom w:val="none" w:sz="0" w:space="0" w:color="auto"/>
        <w:right w:val="none" w:sz="0" w:space="0" w:color="auto"/>
      </w:divBdr>
    </w:div>
    <w:div w:id="2084447248">
      <w:bodyDiv w:val="1"/>
      <w:marLeft w:val="0"/>
      <w:marRight w:val="0"/>
      <w:marTop w:val="0"/>
      <w:marBottom w:val="0"/>
      <w:divBdr>
        <w:top w:val="none" w:sz="0" w:space="0" w:color="auto"/>
        <w:left w:val="none" w:sz="0" w:space="0" w:color="auto"/>
        <w:bottom w:val="none" w:sz="0" w:space="0" w:color="auto"/>
        <w:right w:val="none" w:sz="0" w:space="0" w:color="auto"/>
      </w:divBdr>
    </w:div>
    <w:div w:id="2121023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am.org.au/what-we-do/mining/free-prior-and-informed-consent/" TargetMode="External"/><Relationship Id="rId18" Type="http://schemas.openxmlformats.org/officeDocument/2006/relationships/hyperlink" Target="https://www.iisd.org/sites/default/files/publications/iisd-guide-negotiating-investment-contracts-farmland-water_1.pdf" TargetMode="External"/><Relationship Id="rId26" Type="http://schemas.openxmlformats.org/officeDocument/2006/relationships/hyperlink" Target="http://accountabilityproject.org/what-we-do/support-the-frontlines/guides" TargetMode="External"/><Relationship Id="rId39" Type="http://schemas.openxmlformats.org/officeDocument/2006/relationships/hyperlink" Target="http://www.americanbar.org/content/dam/aba/directories/roli/guinea/aba-roli-guinea-practical-guide-mining-communities-abridged-2015.authcheckdam.pdf" TargetMode="External"/><Relationship Id="rId21" Type="http://schemas.openxmlformats.org/officeDocument/2006/relationships/hyperlink" Target="http://www.icmm.com/document/4080" TargetMode="External"/><Relationship Id="rId34" Type="http://schemas.openxmlformats.org/officeDocument/2006/relationships/hyperlink" Target="http://www.carc.org/pdfs/NMPWorkingPaper5Parlee.pdf" TargetMode="External"/><Relationship Id="rId42" Type="http://schemas.openxmlformats.org/officeDocument/2006/relationships/hyperlink" Target="https://namati.org/wp-content/uploads/2016/06/Groundtruthing-methodology-note.pdf" TargetMode="External"/><Relationship Id="rId47" Type="http://schemas.openxmlformats.org/officeDocument/2006/relationships/hyperlink" Target="https://www.google.com/url?sa=t&amp;rct=j&amp;q=&amp;esrc=s&amp;source=web&amp;cd=26&amp;cad=rja&amp;uact=8&amp;ved=0ahUKEwiD8eixwpvNAhVB1R4KHRLED8g4FBAWCEYwBQ&amp;url=http%3A%2F%2Fwww.gcap.org.gh%2Findex.php%2Fdownloads%2Fpublications%2F5-communityinvestor-guidelines-for-large-scale-land-transactions%2Ffile&amp;usg=AFQjCNHWB8qCj2UlPgNSar9XRN79sTah_Q&amp;sig2=7Ja4cPCwIs8mOOZZd1rLhg" TargetMode="External"/><Relationship Id="rId50" Type="http://schemas.openxmlformats.org/officeDocument/2006/relationships/hyperlink" Target="https://www.elaw.org/system/files/Natural_Resource_Contracts_Guide.pdf" TargetMode="External"/><Relationship Id="rId55" Type="http://schemas.openxmlformats.org/officeDocument/2006/relationships/hyperlink" Target="file:///C:\Users\Marena%20Brinkhurst\Downloads\NegotiationSupport.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clusivedevelopment.net/wp-content/uploads/2015/10/Negotiation-Skills-Guide-English-FM.pdf" TargetMode="External"/><Relationship Id="rId29" Type="http://schemas.openxmlformats.org/officeDocument/2006/relationships/hyperlink" Target="http://grievancemechanisms.org/resources" TargetMode="External"/><Relationship Id="rId11" Type="http://schemas.openxmlformats.org/officeDocument/2006/relationships/hyperlink" Target="https://namati.org/wp-content/uploads/2016/02/Namati-Community-Land-Protection-Facilitators-Guide-Ed.1-2016-LR.pdf" TargetMode="External"/><Relationship Id="rId24" Type="http://schemas.openxmlformats.org/officeDocument/2006/relationships/hyperlink" Target="https://www.google.com/url?sa=t&amp;rct=j&amp;q=&amp;esrc=s&amp;source=web&amp;cd=26&amp;cad=rja&amp;uact=8&amp;ved=0ahUKEwiD8eixwpvNAhVB1R4KHRLED8g4FBAWCEYwBQ&amp;url=http%3A%2F%2Fwww.gcap.org.gh%2Findex.php%2Fdownloads%2Fpublications%2F5-communityinvestor-guidelines-for-large-scale-land-transactions%2Ffile&amp;usg=AFQjCNHWB8qCj2UlPgNSar9XRN79sTah_Q&amp;sig2=7Ja4cPCwIs8mOOZZd1rLhg" TargetMode="External"/><Relationship Id="rId32" Type="http://schemas.openxmlformats.org/officeDocument/2006/relationships/hyperlink" Target="http://contractroadmap.azurewebsites.net/" TargetMode="External"/><Relationship Id="rId37" Type="http://schemas.openxmlformats.org/officeDocument/2006/relationships/hyperlink" Target="http://siteresources.worldbank.org/INTCDD/Resources/sleepingg.pdf" TargetMode="External"/><Relationship Id="rId40" Type="http://schemas.openxmlformats.org/officeDocument/2006/relationships/hyperlink" Target="http://www.fao.org/3/a-i3496e.pdf" TargetMode="External"/><Relationship Id="rId45" Type="http://schemas.openxmlformats.org/officeDocument/2006/relationships/hyperlink" Target="https://www.iisd.org/sites/default/files/publications/iisd-guide-negotiating-investment-contracts-farmland-water_1.pdf" TargetMode="External"/><Relationship Id="rId53" Type="http://schemas.openxmlformats.org/officeDocument/2006/relationships/hyperlink" Target="https://s3.amazonaws.com/openlandcontractsmarch2016/Ag-Guide-v17-FINAL-11-Mar-2016.pdf" TargetMode="External"/><Relationship Id="rId58" Type="http://schemas.openxmlformats.org/officeDocument/2006/relationships/hyperlink" Target="http://www.culturalsurvival.org/sites/default/files/guide_for_communities_0.pdf"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olutions-network.org/site-fpic/files/2012/09/Handbook-on-Community-Engagement-South-Sudan-Law-Society.pdf" TargetMode="External"/><Relationship Id="rId14" Type="http://schemas.openxmlformats.org/officeDocument/2006/relationships/hyperlink" Target="http://siteresources.worldbank.org/INTOGMC/Resources/mining_community.pdf" TargetMode="External"/><Relationship Id="rId22" Type="http://schemas.openxmlformats.org/officeDocument/2006/relationships/hyperlink" Target="http://www.eisourcebook.org/cms/files/csrm_good_practice_notes_on_cdas_document_final_260911.pdf" TargetMode="External"/><Relationship Id="rId27" Type="http://schemas.openxmlformats.org/officeDocument/2006/relationships/hyperlink" Target="http://www.bankinformationcenter.org/wp-content/uploads/2013/01/unpacking+the+adb-2008.pdf" TargetMode="External"/><Relationship Id="rId30" Type="http://schemas.openxmlformats.org/officeDocument/2006/relationships/hyperlink" Target="http://grievancemechanisms.org/resources/guides/step-by-step-guide-1" TargetMode="External"/><Relationship Id="rId35" Type="http://schemas.openxmlformats.org/officeDocument/2006/relationships/hyperlink" Target="http://www.culturalsurvival.org/sites/default/files/guide_for_communities_0.pdf" TargetMode="External"/><Relationship Id="rId43" Type="http://schemas.openxmlformats.org/officeDocument/2006/relationships/hyperlink" Target="http://gordonfoundation.ca/sites/default/files/publications/IBA_toolkit_web_Sept_2015_low_res_0.pdf" TargetMode="External"/><Relationship Id="rId48" Type="http://schemas.openxmlformats.org/officeDocument/2006/relationships/hyperlink" Target="http://contractroadmap.azurewebsites.net/" TargetMode="External"/><Relationship Id="rId56" Type="http://schemas.openxmlformats.org/officeDocument/2006/relationships/hyperlink" Target="file:///C:\Users\Marena%20Brinkhurst\Downloads\A%20handbook%20on%20organizing%20and%20implementing%20effective%20natural%20resources%20monitoring%20programs%20based%20on%20the%20experiences%20of%20and%20lessons%20learned%20by%20thirteen%20NGOs" TargetMode="External"/><Relationship Id="rId8" Type="http://schemas.openxmlformats.org/officeDocument/2006/relationships/hyperlink" Target="http://gordonfoundation.ca/sites/default/files/publications/IBA_toolkit_web_Sept_2015_low_res_0.pdf" TargetMode="External"/><Relationship Id="rId51" Type="http://schemas.openxmlformats.org/officeDocument/2006/relationships/hyperlink" Target="http://www.eisourcebook.org/cms/Jan%202014/Guide%20to%20Mining%20Documents.pdf" TargetMode="External"/><Relationship Id="rId3" Type="http://schemas.openxmlformats.org/officeDocument/2006/relationships/styles" Target="styles.xml"/><Relationship Id="rId12" Type="http://schemas.openxmlformats.org/officeDocument/2006/relationships/hyperlink" Target="http://www.sdiliberia.org/sites/default/files/publications/Community%20Guide%20No.2_Getting%20a%20Fair%20Deal%20from%20Companies%20and%20Investors.pdf" TargetMode="External"/><Relationship Id="rId17" Type="http://schemas.openxmlformats.org/officeDocument/2006/relationships/hyperlink" Target="http://www.inclusivedevelopment.net/wp-content/uploads/2015/10/Negotiation-Skills-Guide-English-PM.pdf" TargetMode="External"/><Relationship Id="rId25" Type="http://schemas.openxmlformats.org/officeDocument/2006/relationships/hyperlink" Target="http://www.accountabilitycounsel.org/wp-content/uploads/2012/04/ARG-v.8.pdf" TargetMode="External"/><Relationship Id="rId33" Type="http://schemas.openxmlformats.org/officeDocument/2006/relationships/hyperlink" Target="https://www.earthrights.org/sites/default/files/documents/ogm_discussion_paper.pdf" TargetMode="External"/><Relationship Id="rId38" Type="http://schemas.openxmlformats.org/officeDocument/2006/relationships/hyperlink" Target="http://www.americanbar.org/content/dam/aba/directories/roli/guinea/aba-roli-guinea-practical-guide-mining-communities-2015-french.authcheckdam.pdf" TargetMode="External"/><Relationship Id="rId46" Type="http://schemas.openxmlformats.org/officeDocument/2006/relationships/hyperlink" Target="https://www.icmm.com/document/1131" TargetMode="External"/><Relationship Id="rId59" Type="http://schemas.openxmlformats.org/officeDocument/2006/relationships/hyperlink" Target="http://www.culturalsurvival.org/sites/default/files/guide_for_communities_0.pdf" TargetMode="External"/><Relationship Id="rId20" Type="http://schemas.openxmlformats.org/officeDocument/2006/relationships/hyperlink" Target="http://www-wds.worldbank.org/external/default/WDSContentServer/WDSP/IB/2012/03/26/000386194_20120326020237/Rendered/PDF/676450WP0Hando00Box367885B00PUBLIC0.pdf" TargetMode="External"/><Relationship Id="rId41" Type="http://schemas.openxmlformats.org/officeDocument/2006/relationships/hyperlink" Target="http://www.cifor.org/publications/pdf_files/infobrief/4560-infobrief.pdf" TargetMode="External"/><Relationship Id="rId54" Type="http://schemas.openxmlformats.org/officeDocument/2006/relationships/hyperlink" Target="https://s3-us-west-2.amazonaws.com/openlandcontracts/Guides/Guide+to+Forestry+Contracts.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o.org/3/a-i3496e.pdf" TargetMode="External"/><Relationship Id="rId23" Type="http://schemas.openxmlformats.org/officeDocument/2006/relationships/hyperlink" Target="http://www.usaidlandtenure.net/sites/default/files/USAID_Operational_Guidelines_updated.pdf" TargetMode="External"/><Relationship Id="rId28" Type="http://schemas.openxmlformats.org/officeDocument/2006/relationships/hyperlink" Target="http://www.inclusivedevelopment.net/wp-content/uploads/2015/09/Following-the-Money.pdf" TargetMode="External"/><Relationship Id="rId36" Type="http://schemas.openxmlformats.org/officeDocument/2006/relationships/hyperlink" Target="http://www.culturalsurvival.org/sites/default/files/guide_for_communities_0.pdf" TargetMode="External"/><Relationship Id="rId49" Type="http://schemas.openxmlformats.org/officeDocument/2006/relationships/hyperlink" Target="http://www.resourcegovernance.org/sites/default/files/documents/rwi_enforcing_rules_full1.pdf" TargetMode="External"/><Relationship Id="rId57" Type="http://schemas.openxmlformats.org/officeDocument/2006/relationships/hyperlink" Target="http://www.greenwatch.or.ug/files/downloads/COMMUNITY%20BASED%20GUIDE%20BOOK.pdf" TargetMode="External"/><Relationship Id="rId10" Type="http://schemas.openxmlformats.org/officeDocument/2006/relationships/hyperlink" Target="http://www.americanbar.org/content/dam/aba/directories/roli/guinea/aba-roli-guinea-practical-guide-mining-communities-abridged-2015.authcheckdam.pdf" TargetMode="External"/><Relationship Id="rId31" Type="http://schemas.openxmlformats.org/officeDocument/2006/relationships/hyperlink" Target="http://grievancemechanisms.org/resources/guides/how-to-use-the-un-guiding-principles-on-business-and-human-rights-in-company-research-and-advocacy/how-to-use-the-un-guiding-principles-on-business-and-human-rights-in-company-research-and-advocacy/at_download/file" TargetMode="External"/><Relationship Id="rId44" Type="http://schemas.openxmlformats.org/officeDocument/2006/relationships/hyperlink" Target="https://www.google.com/url?sa=t&amp;rct=j&amp;q=&amp;esrc=s&amp;source=web&amp;cd=2&amp;ved=0ahUKEwj48NmQ4K_MAhVEKB4KHXrhD-YQFggjMAE&amp;url=http%3A%2F%2Fsiteresources.worldbank.org%2FINTEXTINDWOM%2FResources%2FCDA_Model_REgulations_Example_Guidelines_Modified.doc&amp;usg=AFQjCNFdqRC6Eo6EunQzaT4FwmpR9ISH3g&amp;sig2=oZXQ5fAZ14FaDawlZkPJEg&amp;cad=rja" TargetMode="External"/><Relationship Id="rId52" Type="http://schemas.openxmlformats.org/officeDocument/2006/relationships/hyperlink" Target="http://www.allenovery.com/SiteCollectionDocuments/geiprogram.pdf" TargetMode="External"/><Relationship Id="rId60" Type="http://schemas.openxmlformats.org/officeDocument/2006/relationships/hyperlink" Target="http://www.elaw.org/mining-eia-guidebook" TargetMode="External"/><Relationship Id="rId4" Type="http://schemas.openxmlformats.org/officeDocument/2006/relationships/settings" Target="settings.xml"/><Relationship Id="rId9" Type="http://schemas.openxmlformats.org/officeDocument/2006/relationships/hyperlink" Target="http://www.americanbar.org/content/dam/aba/directories/roli/guinea/aba-roli-guinea-practical-guide-mining-communities-2015-french.authcheckd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30CE-5809-4C88-8C05-1B78FD33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Burke</dc:creator>
  <cp:keywords/>
  <dc:description/>
  <cp:lastModifiedBy>Marena Brinkhurst</cp:lastModifiedBy>
  <cp:revision>4</cp:revision>
  <dcterms:created xsi:type="dcterms:W3CDTF">2016-07-18T18:13:00Z</dcterms:created>
  <dcterms:modified xsi:type="dcterms:W3CDTF">2016-07-18T18:18:00Z</dcterms:modified>
</cp:coreProperties>
</file>