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3D" w:rsidRPr="00DB77BA" w:rsidRDefault="00082308" w:rsidP="00177B20">
      <w:pPr>
        <w:spacing w:before="40" w:after="0" w:line="240" w:lineRule="auto"/>
        <w:jc w:val="center"/>
        <w:rPr>
          <w:rFonts w:ascii="Times New Roman" w:hAnsi="Times New Roman" w:cs="Times New Roman"/>
          <w:b/>
          <w:sz w:val="24"/>
        </w:rPr>
      </w:pPr>
      <w:r w:rsidRPr="00DB77BA">
        <w:rPr>
          <w:rFonts w:ascii="Times New Roman" w:hAnsi="Times New Roman" w:cs="Times New Roman"/>
          <w:b/>
          <w:sz w:val="24"/>
        </w:rPr>
        <w:t>Justice 2015</w:t>
      </w:r>
      <w:r w:rsidR="004462E3" w:rsidRPr="00DB77BA">
        <w:rPr>
          <w:rFonts w:ascii="Times New Roman" w:hAnsi="Times New Roman" w:cs="Times New Roman"/>
          <w:b/>
          <w:sz w:val="24"/>
        </w:rPr>
        <w:t>: Legal Empowerment and the Global Development Framework</w:t>
      </w:r>
    </w:p>
    <w:p w:rsidR="004462E3" w:rsidRPr="00DB77BA" w:rsidRDefault="004462E3" w:rsidP="00177B20">
      <w:pPr>
        <w:spacing w:before="40" w:after="0" w:line="240" w:lineRule="auto"/>
        <w:jc w:val="center"/>
        <w:rPr>
          <w:rFonts w:ascii="Times New Roman" w:hAnsi="Times New Roman" w:cs="Times New Roman"/>
          <w:b/>
          <w:sz w:val="24"/>
        </w:rPr>
      </w:pPr>
    </w:p>
    <w:p w:rsidR="004462E3" w:rsidRPr="00DB77BA" w:rsidRDefault="001A1B44" w:rsidP="00177B20">
      <w:pPr>
        <w:spacing w:before="40" w:after="0" w:line="240" w:lineRule="auto"/>
        <w:jc w:val="center"/>
        <w:rPr>
          <w:rFonts w:ascii="Times New Roman" w:hAnsi="Times New Roman" w:cs="Times New Roman"/>
          <w:b/>
          <w:sz w:val="24"/>
        </w:rPr>
      </w:pPr>
      <w:r w:rsidRPr="00DB77BA">
        <w:rPr>
          <w:rFonts w:ascii="Times New Roman" w:hAnsi="Times New Roman" w:cs="Times New Roman"/>
          <w:b/>
          <w:sz w:val="24"/>
        </w:rPr>
        <w:t xml:space="preserve">Annex: </w:t>
      </w:r>
      <w:r w:rsidR="00C95C79">
        <w:rPr>
          <w:rFonts w:ascii="Times New Roman" w:hAnsi="Times New Roman" w:cs="Times New Roman"/>
          <w:b/>
          <w:sz w:val="24"/>
        </w:rPr>
        <w:t>Possible</w:t>
      </w:r>
      <w:r w:rsidRPr="00DB77BA">
        <w:rPr>
          <w:rFonts w:ascii="Times New Roman" w:hAnsi="Times New Roman" w:cs="Times New Roman"/>
          <w:b/>
          <w:sz w:val="24"/>
        </w:rPr>
        <w:t xml:space="preserve"> Indicators and Rationale</w:t>
      </w:r>
    </w:p>
    <w:p w:rsidR="00F37206" w:rsidRPr="00C95C79" w:rsidRDefault="00C95C79" w:rsidP="004471DB">
      <w:pPr>
        <w:spacing w:before="40" w:after="0" w:line="240" w:lineRule="auto"/>
        <w:rPr>
          <w:rFonts w:ascii="Times New Roman" w:hAnsi="Times New Roman" w:cs="Times New Roman"/>
          <w:i/>
        </w:rPr>
      </w:pPr>
      <w:r>
        <w:rPr>
          <w:rFonts w:ascii="Times New Roman" w:hAnsi="Times New Roman" w:cs="Times New Roman"/>
          <w:i/>
        </w:rPr>
        <w:br/>
        <w:t>Here, w</w:t>
      </w:r>
      <w:r w:rsidR="00F37206" w:rsidRPr="00DB77BA">
        <w:rPr>
          <w:rFonts w:ascii="Times New Roman" w:hAnsi="Times New Roman" w:cs="Times New Roman"/>
          <w:i/>
        </w:rPr>
        <w:t>e expand on the indicators offered in the discussion note, and consider each target according to a standard set of criteria for global development goals.</w:t>
      </w:r>
      <w:r w:rsidR="004471DB">
        <w:rPr>
          <w:rStyle w:val="EndnoteReference"/>
          <w:rFonts w:ascii="Times New Roman" w:hAnsi="Times New Roman" w:cs="Times New Roman"/>
          <w:i/>
        </w:rPr>
        <w:endnoteReference w:id="1"/>
      </w:r>
      <w:r w:rsidR="004471DB">
        <w:rPr>
          <w:rFonts w:ascii="Times New Roman" w:hAnsi="Times New Roman" w:cs="Times New Roman"/>
          <w:i/>
        </w:rPr>
        <w:t xml:space="preserve"> We also cite sources </w:t>
      </w:r>
      <w:r w:rsidR="00C201D4">
        <w:rPr>
          <w:rFonts w:ascii="Times New Roman" w:hAnsi="Times New Roman" w:cs="Times New Roman"/>
          <w:i/>
        </w:rPr>
        <w:t>that</w:t>
      </w:r>
      <w:r>
        <w:rPr>
          <w:rFonts w:ascii="Times New Roman" w:hAnsi="Times New Roman" w:cs="Times New Roman"/>
          <w:i/>
        </w:rPr>
        <w:t xml:space="preserve"> </w:t>
      </w:r>
      <w:r w:rsidR="004471DB">
        <w:rPr>
          <w:rFonts w:ascii="Times New Roman" w:hAnsi="Times New Roman" w:cs="Times New Roman"/>
          <w:i/>
        </w:rPr>
        <w:t>propose</w:t>
      </w:r>
      <w:r w:rsidR="00C201D4">
        <w:rPr>
          <w:rFonts w:ascii="Times New Roman" w:hAnsi="Times New Roman" w:cs="Times New Roman"/>
          <w:i/>
        </w:rPr>
        <w:t xml:space="preserve"> </w:t>
      </w:r>
      <w:r>
        <w:rPr>
          <w:rFonts w:ascii="Times New Roman" w:hAnsi="Times New Roman" w:cs="Times New Roman"/>
          <w:i/>
        </w:rPr>
        <w:t>similar indicators.</w:t>
      </w:r>
    </w:p>
    <w:p w:rsidR="00F8498D" w:rsidRPr="00DB77BA" w:rsidRDefault="00F8498D" w:rsidP="00177B20">
      <w:pPr>
        <w:spacing w:before="40" w:after="0" w:line="240" w:lineRule="auto"/>
        <w:rPr>
          <w:rFonts w:ascii="Times New Roman" w:hAnsi="Times New Roman" w:cs="Times New Roman"/>
          <w:sz w:val="24"/>
          <w:highlight w:val="yellow"/>
        </w:rPr>
      </w:pPr>
    </w:p>
    <w:p w:rsidR="006E02D4" w:rsidRPr="00DB77BA" w:rsidDel="00633C0F" w:rsidRDefault="00AA29CC" w:rsidP="00177B20">
      <w:pPr>
        <w:spacing w:before="40" w:after="0" w:line="240" w:lineRule="auto"/>
        <w:rPr>
          <w:rFonts w:ascii="Times New Roman" w:hAnsi="Times New Roman" w:cs="Times New Roman"/>
        </w:rPr>
      </w:pPr>
      <w:r w:rsidRPr="00AA29CC">
        <w:rPr>
          <w:rFonts w:ascii="Times New Roman" w:hAnsi="Times New Roman" w:cs="Times New Roman"/>
          <w:b/>
          <w:i/>
          <w:sz w:val="24"/>
        </w:rPr>
        <w:t>16.3 Promote the rule of law at the national and international levels, and ensure equal access to justice for all</w:t>
      </w:r>
    </w:p>
    <w:tbl>
      <w:tblPr>
        <w:tblStyle w:val="TableGrid"/>
        <w:tblpPr w:leftFromText="180" w:rightFromText="180" w:vertAnchor="text" w:horzAnchor="page" w:tblpX="1549" w:tblpY="273"/>
        <w:tblW w:w="8568" w:type="dxa"/>
        <w:tblLook w:val="00A0" w:firstRow="1" w:lastRow="0" w:firstColumn="1" w:lastColumn="0" w:noHBand="0" w:noVBand="0"/>
      </w:tblPr>
      <w:tblGrid>
        <w:gridCol w:w="4428"/>
        <w:gridCol w:w="1710"/>
        <w:gridCol w:w="2430"/>
      </w:tblGrid>
      <w:tr w:rsidR="007F66DE" w:rsidRPr="00DB77BA">
        <w:trPr>
          <w:trHeight w:val="160"/>
        </w:trPr>
        <w:tc>
          <w:tcPr>
            <w:tcW w:w="8568" w:type="dxa"/>
            <w:gridSpan w:val="3"/>
            <w:tcBorders>
              <w:bottom w:val="single" w:sz="4" w:space="0" w:color="auto"/>
            </w:tcBorders>
            <w:shd w:val="clear" w:color="auto" w:fill="92CDDC" w:themeFill="accent5" w:themeFillTint="99"/>
          </w:tcPr>
          <w:p w:rsidR="007F66DE" w:rsidRDefault="007F66DE" w:rsidP="00177B20">
            <w:pPr>
              <w:tabs>
                <w:tab w:val="left" w:pos="1712"/>
              </w:tabs>
              <w:spacing w:before="40"/>
              <w:rPr>
                <w:rFonts w:ascii="Times New Roman" w:hAnsi="Times New Roman" w:cs="Times New Roman"/>
                <w:b/>
                <w:color w:val="FFFFFF" w:themeColor="background1"/>
              </w:rPr>
            </w:pPr>
            <w:r w:rsidRPr="00DB77BA">
              <w:rPr>
                <w:rFonts w:ascii="Times New Roman" w:hAnsi="Times New Roman" w:cs="Times New Roman"/>
                <w:b/>
                <w:i/>
                <w:color w:val="FFFFFF" w:themeColor="background1"/>
                <w:sz w:val="24"/>
              </w:rPr>
              <w:br/>
            </w:r>
            <w:r w:rsidR="006F496C" w:rsidRPr="006F496C">
              <w:rPr>
                <w:rFonts w:ascii="Times New Roman" w:hAnsi="Times New Roman" w:cs="Times New Roman"/>
                <w:b/>
                <w:sz w:val="24"/>
              </w:rPr>
              <w:t xml:space="preserve">16.3 Promote the rule of law at the national and international levels, and ensure equal access to justice for all </w:t>
            </w:r>
            <w:r w:rsidR="00C31572" w:rsidRPr="00DB77BA">
              <w:rPr>
                <w:rFonts w:ascii="Times New Roman" w:hAnsi="Times New Roman" w:cs="Times New Roman"/>
                <w:b/>
                <w:color w:val="FFFFFF" w:themeColor="background1"/>
              </w:rPr>
              <w:tab/>
            </w:r>
          </w:p>
          <w:p w:rsidR="006F496C" w:rsidRPr="00DB77BA" w:rsidRDefault="006F496C" w:rsidP="00177B20">
            <w:pPr>
              <w:tabs>
                <w:tab w:val="left" w:pos="1712"/>
              </w:tabs>
              <w:spacing w:before="40"/>
              <w:rPr>
                <w:rFonts w:ascii="Times New Roman" w:hAnsi="Times New Roman" w:cs="Times New Roman"/>
                <w:b/>
                <w:color w:val="FFFFFF" w:themeColor="background1"/>
              </w:rPr>
            </w:pPr>
          </w:p>
        </w:tc>
      </w:tr>
      <w:tr w:rsidR="002A0284" w:rsidRPr="00DB77BA">
        <w:trPr>
          <w:trHeight w:val="160"/>
        </w:trPr>
        <w:tc>
          <w:tcPr>
            <w:tcW w:w="4428" w:type="dxa"/>
            <w:shd w:val="clear" w:color="auto" w:fill="DAEEF3" w:themeFill="accent5" w:themeFillTint="33"/>
          </w:tcPr>
          <w:p w:rsidR="007F66DE" w:rsidRPr="00DB77BA" w:rsidRDefault="007F66DE" w:rsidP="00177B20">
            <w:pPr>
              <w:spacing w:before="40"/>
              <w:jc w:val="center"/>
              <w:rPr>
                <w:rFonts w:ascii="Times New Roman" w:hAnsi="Times New Roman" w:cs="Times New Roman"/>
                <w:b/>
                <w:color w:val="215868" w:themeColor="accent5" w:themeShade="80"/>
              </w:rPr>
            </w:pPr>
            <w:r w:rsidRPr="00DB77BA">
              <w:rPr>
                <w:rFonts w:ascii="Times New Roman" w:hAnsi="Times New Roman" w:cs="Times New Roman"/>
                <w:b/>
                <w:color w:val="215868" w:themeColor="accent5" w:themeShade="80"/>
              </w:rPr>
              <w:t>Possible Indicators</w:t>
            </w:r>
          </w:p>
        </w:tc>
        <w:tc>
          <w:tcPr>
            <w:tcW w:w="1710" w:type="dxa"/>
            <w:shd w:val="clear" w:color="auto" w:fill="DAEEF3" w:themeFill="accent5" w:themeFillTint="33"/>
          </w:tcPr>
          <w:p w:rsidR="007F66DE" w:rsidRPr="00DB77BA" w:rsidRDefault="007F66DE" w:rsidP="00177B20">
            <w:pPr>
              <w:spacing w:before="40"/>
              <w:jc w:val="center"/>
              <w:rPr>
                <w:rFonts w:ascii="Times New Roman" w:hAnsi="Times New Roman" w:cs="Times New Roman"/>
                <w:b/>
                <w:color w:val="215868" w:themeColor="accent5" w:themeShade="80"/>
              </w:rPr>
            </w:pPr>
            <w:r w:rsidRPr="00DB77BA">
              <w:rPr>
                <w:rFonts w:ascii="Times New Roman" w:hAnsi="Times New Roman" w:cs="Times New Roman"/>
                <w:b/>
                <w:color w:val="215868" w:themeColor="accent5" w:themeShade="80"/>
              </w:rPr>
              <w:t>Data Collection Method</w:t>
            </w:r>
          </w:p>
        </w:tc>
        <w:tc>
          <w:tcPr>
            <w:tcW w:w="2430" w:type="dxa"/>
            <w:shd w:val="clear" w:color="auto" w:fill="DAEEF3" w:themeFill="accent5" w:themeFillTint="33"/>
          </w:tcPr>
          <w:p w:rsidR="007F66DE" w:rsidRPr="00DB77BA" w:rsidRDefault="00BE1F3E" w:rsidP="00177B20">
            <w:pPr>
              <w:spacing w:before="40"/>
              <w:jc w:val="center"/>
              <w:rPr>
                <w:rFonts w:ascii="Times New Roman" w:hAnsi="Times New Roman" w:cs="Times New Roman"/>
                <w:b/>
                <w:color w:val="215868" w:themeColor="accent5" w:themeShade="80"/>
              </w:rPr>
            </w:pPr>
            <w:r w:rsidRPr="00DB77BA">
              <w:rPr>
                <w:rFonts w:ascii="Times New Roman" w:hAnsi="Times New Roman" w:cs="Times New Roman"/>
                <w:b/>
                <w:color w:val="215868" w:themeColor="accent5" w:themeShade="80"/>
              </w:rPr>
              <w:t>Similar proposals</w:t>
            </w:r>
            <w:r w:rsidR="007F66DE" w:rsidRPr="00DB77BA">
              <w:rPr>
                <w:rFonts w:ascii="Times New Roman" w:hAnsi="Times New Roman" w:cs="Times New Roman"/>
                <w:b/>
                <w:color w:val="215868" w:themeColor="accent5" w:themeShade="80"/>
              </w:rPr>
              <w:t xml:space="preserve"> </w:t>
            </w:r>
          </w:p>
        </w:tc>
      </w:tr>
      <w:tr w:rsidR="00E947DF" w:rsidRPr="00DB77BA">
        <w:tc>
          <w:tcPr>
            <w:tcW w:w="4428" w:type="dxa"/>
            <w:tcBorders>
              <w:bottom w:val="single" w:sz="4" w:space="0" w:color="auto"/>
            </w:tcBorders>
          </w:tcPr>
          <w:p w:rsidR="007F66DE" w:rsidRPr="00DB77BA" w:rsidRDefault="007F66DE" w:rsidP="00C95C79">
            <w:pPr>
              <w:spacing w:before="40"/>
              <w:ind w:left="18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The proportion of </w:t>
            </w:r>
            <w:r w:rsidR="00A435D4" w:rsidRPr="00DB77BA">
              <w:rPr>
                <w:rFonts w:ascii="Times New Roman" w:hAnsi="Times New Roman" w:cs="Times New Roman"/>
              </w:rPr>
              <w:t>the</w:t>
            </w:r>
            <w:r w:rsidRPr="00DB77BA">
              <w:rPr>
                <w:rFonts w:ascii="Times New Roman" w:hAnsi="Times New Roman" w:cs="Times New Roman"/>
              </w:rPr>
              <w:t xml:space="preserve"> population </w:t>
            </w:r>
            <w:r w:rsidR="002A0284" w:rsidRPr="00DB77BA">
              <w:rPr>
                <w:rFonts w:ascii="Times New Roman" w:hAnsi="Times New Roman" w:cs="Times New Roman"/>
              </w:rPr>
              <w:t>who live within reasonable reach</w:t>
            </w:r>
            <w:r w:rsidR="00E147BD" w:rsidRPr="00DB77BA">
              <w:rPr>
                <w:rFonts w:ascii="Times New Roman" w:hAnsi="Times New Roman" w:cs="Times New Roman"/>
              </w:rPr>
              <w:t xml:space="preserve"> (measured in km or time of travel)</w:t>
            </w:r>
            <w:r w:rsidR="002A0284" w:rsidRPr="00DB77BA">
              <w:rPr>
                <w:rFonts w:ascii="Times New Roman" w:hAnsi="Times New Roman" w:cs="Times New Roman"/>
              </w:rPr>
              <w:t xml:space="preserve"> of a </w:t>
            </w:r>
            <w:r w:rsidR="00C95C79">
              <w:rPr>
                <w:rFonts w:ascii="Times New Roman" w:hAnsi="Times New Roman" w:cs="Times New Roman"/>
              </w:rPr>
              <w:t>legal forum</w:t>
            </w:r>
            <w:r w:rsidR="002A0284" w:rsidRPr="00DB77BA">
              <w:rPr>
                <w:rFonts w:ascii="Times New Roman" w:hAnsi="Times New Roman" w:cs="Times New Roman"/>
              </w:rPr>
              <w:t xml:space="preserve"> </w:t>
            </w:r>
            <w:r w:rsidR="00C95C79">
              <w:rPr>
                <w:rFonts w:ascii="Times New Roman" w:hAnsi="Times New Roman" w:cs="Times New Roman"/>
              </w:rPr>
              <w:t>whose resolutions are fair and enforced</w:t>
            </w:r>
          </w:p>
        </w:tc>
        <w:tc>
          <w:tcPr>
            <w:tcW w:w="1710" w:type="dxa"/>
            <w:tcBorders>
              <w:bottom w:val="single" w:sz="4" w:space="0" w:color="auto"/>
            </w:tcBorders>
          </w:tcPr>
          <w:p w:rsidR="007F66DE" w:rsidRPr="00DB77BA" w:rsidRDefault="007F66DE"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Administrative data, GIS</w:t>
            </w:r>
            <w:r w:rsidR="00F37206" w:rsidRPr="00DB77BA">
              <w:rPr>
                <w:rFonts w:ascii="Times New Roman" w:hAnsi="Times New Roman" w:cs="Times New Roman"/>
              </w:rPr>
              <w:t>, Public surveys</w:t>
            </w:r>
          </w:p>
        </w:tc>
        <w:tc>
          <w:tcPr>
            <w:tcW w:w="2430" w:type="dxa"/>
            <w:tcBorders>
              <w:bottom w:val="single" w:sz="4" w:space="0" w:color="auto"/>
            </w:tcBorders>
          </w:tcPr>
          <w:p w:rsidR="00E947DF" w:rsidRPr="00DB77BA" w:rsidRDefault="002A0284" w:rsidP="00C36AC9">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rPr>
              <w:t>Lawson-Remer</w:t>
            </w:r>
            <w:r w:rsidR="00E43F02">
              <w:rPr>
                <w:rFonts w:ascii="Times New Roman" w:hAnsi="Times New Roman" w:cs="Times New Roman"/>
              </w:rPr>
              <w:t xml:space="preserve"> (12)</w:t>
            </w:r>
            <w:r w:rsidR="00E947DF" w:rsidRPr="00DB77BA">
              <w:rPr>
                <w:rFonts w:ascii="Times New Roman" w:hAnsi="Times New Roman" w:cs="Times New Roman"/>
              </w:rPr>
              <w:t>, World Justice Project</w:t>
            </w:r>
            <w:r w:rsidR="00E43F02">
              <w:rPr>
                <w:rFonts w:ascii="Times New Roman" w:hAnsi="Times New Roman" w:cs="Times New Roman"/>
              </w:rPr>
              <w:t xml:space="preserve"> (11)</w:t>
            </w:r>
          </w:p>
        </w:tc>
      </w:tr>
      <w:tr w:rsidR="00E947DF" w:rsidRPr="00DB77BA">
        <w:tc>
          <w:tcPr>
            <w:tcW w:w="4428" w:type="dxa"/>
            <w:shd w:val="clear" w:color="auto" w:fill="FFFFFF"/>
          </w:tcPr>
          <w:p w:rsidR="00E947DF" w:rsidRPr="00DB77BA" w:rsidRDefault="00E947DF" w:rsidP="00177B20">
            <w:pPr>
              <w:spacing w:before="40"/>
              <w:ind w:left="180"/>
              <w:rPr>
                <w:rFonts w:ascii="Times New Roman" w:eastAsia="Times New Roman" w:hAnsi="Times New Roman" w:cs="Times New Roman"/>
                <w:szCs w:val="20"/>
                <w:lang w:eastAsia="zh-CN"/>
              </w:rPr>
            </w:pPr>
            <w:r w:rsidRPr="00DB77BA">
              <w:rPr>
                <w:rFonts w:ascii="Times New Roman" w:hAnsi="Times New Roman" w:cs="Times New Roman"/>
              </w:rPr>
              <w:t xml:space="preserve">The proportion of the population who live within reasonable reach of a primary justice service provider </w:t>
            </w:r>
            <w:r w:rsidRPr="00DB77BA">
              <w:rPr>
                <w:rFonts w:ascii="Times New Roman" w:eastAsia="Times New Roman" w:hAnsi="Times New Roman" w:cs="Times New Roman"/>
                <w:szCs w:val="20"/>
                <w:lang w:eastAsia="zh-CN"/>
              </w:rPr>
              <w:t>(e.g. a qualified lawyer, paralegal, or other person trained to act as a legal advisor)</w:t>
            </w:r>
          </w:p>
        </w:tc>
        <w:tc>
          <w:tcPr>
            <w:tcW w:w="1710" w:type="dxa"/>
            <w:shd w:val="clear" w:color="auto" w:fill="FFFFFF"/>
          </w:tcPr>
          <w:p w:rsidR="00E947DF" w:rsidRPr="00DB77BA" w:rsidRDefault="00E947DF" w:rsidP="00E147BD">
            <w:pPr>
              <w:spacing w:before="40"/>
              <w:rPr>
                <w:rFonts w:ascii="Times New Roman" w:hAnsi="Times New Roman" w:cs="Times New Roman"/>
              </w:rPr>
            </w:pPr>
            <w:r w:rsidRPr="00DB77BA">
              <w:rPr>
                <w:rFonts w:ascii="Times New Roman" w:hAnsi="Times New Roman" w:cs="Times New Roman"/>
              </w:rPr>
              <w:t>Administrative data, GIS</w:t>
            </w:r>
          </w:p>
        </w:tc>
        <w:tc>
          <w:tcPr>
            <w:tcW w:w="2430" w:type="dxa"/>
            <w:shd w:val="clear" w:color="auto" w:fill="FFFFFF"/>
          </w:tcPr>
          <w:p w:rsidR="00E947DF" w:rsidRPr="00DB77BA" w:rsidRDefault="00E947DF" w:rsidP="00C36AC9">
            <w:pPr>
              <w:spacing w:before="40"/>
              <w:jc w:val="center"/>
              <w:rPr>
                <w:rFonts w:ascii="Times New Roman" w:hAnsi="Times New Roman" w:cs="Times New Roman"/>
              </w:rPr>
            </w:pPr>
            <w:r w:rsidRPr="00DB77BA">
              <w:rPr>
                <w:rFonts w:ascii="Times New Roman" w:hAnsi="Times New Roman" w:cs="Times New Roman"/>
              </w:rPr>
              <w:t>World Justice Projec</w:t>
            </w:r>
            <w:r w:rsidR="00C36AC9">
              <w:t>t</w:t>
            </w:r>
            <w:r w:rsidR="00E43F02">
              <w:t xml:space="preserve"> (11)</w:t>
            </w:r>
          </w:p>
        </w:tc>
      </w:tr>
      <w:tr w:rsidR="00E947DF" w:rsidRPr="00DB77BA">
        <w:tc>
          <w:tcPr>
            <w:tcW w:w="4428" w:type="dxa"/>
          </w:tcPr>
          <w:p w:rsidR="00E947DF" w:rsidRPr="00DB77BA" w:rsidDel="00C44CD8" w:rsidRDefault="00E947DF" w:rsidP="00177B20">
            <w:pPr>
              <w:spacing w:before="40"/>
              <w:ind w:left="180"/>
              <w:rPr>
                <w:rFonts w:ascii="Times New Roman" w:eastAsiaTheme="majorEastAsia" w:hAnsi="Times New Roman" w:cs="Times New Roman"/>
                <w:i/>
                <w:iCs/>
                <w:color w:val="404040" w:themeColor="text1" w:themeTint="BF"/>
              </w:rPr>
            </w:pPr>
            <w:r w:rsidRPr="00DB77BA">
              <w:rPr>
                <w:rFonts w:ascii="Times New Roman" w:eastAsia="Times New Roman" w:hAnsi="Times New Roman" w:cs="Times New Roman"/>
                <w:szCs w:val="20"/>
                <w:lang w:eastAsia="zh-CN"/>
              </w:rPr>
              <w:t>The proportion of persons who report confidence that they can access affordable and effective primary justice services in the event that they need legal advice or assistance</w:t>
            </w:r>
          </w:p>
        </w:tc>
        <w:tc>
          <w:tcPr>
            <w:tcW w:w="171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Public surveys</w:t>
            </w:r>
          </w:p>
        </w:tc>
        <w:tc>
          <w:tcPr>
            <w:tcW w:w="2430" w:type="dxa"/>
          </w:tcPr>
          <w:p w:rsidR="00E947DF" w:rsidRPr="00C36AC9" w:rsidRDefault="00E947DF" w:rsidP="00C36AC9">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rPr>
              <w:t>Lawson-Remer</w:t>
            </w:r>
            <w:r w:rsidR="00E43F02">
              <w:rPr>
                <w:rFonts w:ascii="Times New Roman" w:hAnsi="Times New Roman" w:cs="Times New Roman"/>
              </w:rPr>
              <w:t xml:space="preserve"> (12)</w:t>
            </w:r>
            <w:r w:rsidR="00322B23">
              <w:rPr>
                <w:rFonts w:ascii="Times New Roman" w:hAnsi="Times New Roman" w:cs="Times New Roman"/>
              </w:rPr>
              <w:t>,</w:t>
            </w:r>
            <w:r w:rsidRPr="00DB77BA">
              <w:rPr>
                <w:rFonts w:ascii="Times New Roman" w:hAnsi="Times New Roman" w:cs="Times New Roman"/>
              </w:rPr>
              <w:t xml:space="preserve"> World Justice Project</w:t>
            </w:r>
            <w:r w:rsidR="007870EE">
              <w:rPr>
                <w:rFonts w:ascii="Times New Roman" w:hAnsi="Times New Roman" w:cs="Times New Roman"/>
              </w:rPr>
              <w:t xml:space="preserve"> (11)</w:t>
            </w:r>
            <w:r w:rsidRPr="00DB77BA">
              <w:rPr>
                <w:rFonts w:ascii="Times New Roman" w:hAnsi="Times New Roman" w:cs="Times New Roman"/>
              </w:rPr>
              <w:t>, DFID</w:t>
            </w:r>
            <w:r w:rsidR="000B123C">
              <w:rPr>
                <w:rFonts w:ascii="Times New Roman" w:hAnsi="Times New Roman" w:cs="Times New Roman"/>
              </w:rPr>
              <w:t xml:space="preserve"> (21)</w:t>
            </w:r>
            <w:r w:rsidRPr="00DB77BA">
              <w:rPr>
                <w:rFonts w:ascii="Times New Roman" w:hAnsi="Times New Roman" w:cs="Times New Roman"/>
              </w:rPr>
              <w:t>, UNDP, G7+</w:t>
            </w:r>
            <w:r w:rsidR="007870EE">
              <w:rPr>
                <w:rFonts w:ascii="Times New Roman" w:hAnsi="Times New Roman" w:cs="Times New Roman"/>
              </w:rPr>
              <w:t xml:space="preserve"> (5)</w:t>
            </w:r>
            <w:r w:rsidR="0091363C">
              <w:rPr>
                <w:rFonts w:ascii="Times New Roman" w:hAnsi="Times New Roman" w:cs="Times New Roman"/>
              </w:rPr>
              <w:t>, Bates-Earner (CIGI, 55)</w:t>
            </w:r>
            <w:r w:rsidR="00AE7594">
              <w:rPr>
                <w:rFonts w:ascii="Times New Roman" w:hAnsi="Times New Roman" w:cs="Times New Roman"/>
              </w:rPr>
              <w:t xml:space="preserve">, </w:t>
            </w:r>
            <w:proofErr w:type="spellStart"/>
            <w:r w:rsidR="00254773">
              <w:rPr>
                <w:rFonts w:ascii="Times New Roman" w:hAnsi="Times New Roman" w:cs="Times New Roman"/>
              </w:rPr>
              <w:t>Frecheville</w:t>
            </w:r>
            <w:proofErr w:type="spellEnd"/>
            <w:r w:rsidR="00254773">
              <w:rPr>
                <w:rFonts w:ascii="Times New Roman" w:hAnsi="Times New Roman" w:cs="Times New Roman"/>
              </w:rPr>
              <w:t xml:space="preserve"> (</w:t>
            </w:r>
            <w:r w:rsidR="00AE7594">
              <w:rPr>
                <w:rFonts w:ascii="Times New Roman" w:hAnsi="Times New Roman" w:cs="Times New Roman"/>
              </w:rPr>
              <w:t>CAFOD</w:t>
            </w:r>
            <w:r w:rsidR="00254773">
              <w:rPr>
                <w:rFonts w:ascii="Times New Roman" w:hAnsi="Times New Roman" w:cs="Times New Roman"/>
              </w:rPr>
              <w:t>)</w:t>
            </w:r>
            <w:r w:rsidR="0091363C">
              <w:rPr>
                <w:rFonts w:ascii="Times New Roman" w:hAnsi="Times New Roman" w:cs="Times New Roman"/>
              </w:rPr>
              <w:t xml:space="preserve"> 13-14</w:t>
            </w:r>
          </w:p>
        </w:tc>
      </w:tr>
      <w:tr w:rsidR="00E947DF" w:rsidRPr="00DB77BA">
        <w:tc>
          <w:tcPr>
            <w:tcW w:w="4428" w:type="dxa"/>
          </w:tcPr>
          <w:p w:rsidR="00E947DF" w:rsidRPr="00DB77BA" w:rsidDel="00C44CD8" w:rsidRDefault="00E947DF" w:rsidP="00177B20">
            <w:pPr>
              <w:spacing w:before="40"/>
              <w:ind w:left="180"/>
              <w:rPr>
                <w:rFonts w:ascii="Times New Roman" w:eastAsiaTheme="majorEastAsia" w:hAnsi="Times New Roman" w:cs="Times New Roman"/>
                <w:i/>
                <w:iCs/>
                <w:color w:val="404040" w:themeColor="text1" w:themeTint="BF"/>
              </w:rPr>
            </w:pPr>
            <w:r w:rsidRPr="00DB77BA">
              <w:rPr>
                <w:rFonts w:ascii="Times New Roman" w:hAnsi="Times New Roman" w:cs="Times New Roman"/>
              </w:rPr>
              <w:t>Ratio of primary justice service providers per capita (on national, state, and local level)</w:t>
            </w:r>
          </w:p>
        </w:tc>
        <w:tc>
          <w:tcPr>
            <w:tcW w:w="171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Administrative data</w:t>
            </w:r>
          </w:p>
        </w:tc>
        <w:tc>
          <w:tcPr>
            <w:tcW w:w="2430" w:type="dxa"/>
          </w:tcPr>
          <w:p w:rsidR="00E947DF" w:rsidRPr="00DB77BA" w:rsidRDefault="00E947DF" w:rsidP="0091363C">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rPr>
              <w:t>Brinkman</w:t>
            </w:r>
            <w:r w:rsidR="00322B23">
              <w:rPr>
                <w:rFonts w:ascii="Times New Roman" w:hAnsi="Times New Roman" w:cs="Times New Roman"/>
              </w:rPr>
              <w:t xml:space="preserve"> (12)</w:t>
            </w:r>
            <w:r w:rsidR="0091363C">
              <w:rPr>
                <w:rFonts w:ascii="Times New Roman" w:hAnsi="Times New Roman" w:cs="Times New Roman"/>
              </w:rPr>
              <w:t>, UNDP Mongolia (88-98)</w:t>
            </w:r>
            <w:r w:rsidRPr="00DB77BA">
              <w:rPr>
                <w:rFonts w:ascii="Times New Roman" w:hAnsi="Times New Roman" w:cs="Times New Roman"/>
              </w:rPr>
              <w:t>, G7+</w:t>
            </w:r>
            <w:r w:rsidR="007870EE">
              <w:rPr>
                <w:rFonts w:ascii="Times New Roman" w:hAnsi="Times New Roman" w:cs="Times New Roman"/>
              </w:rPr>
              <w:t xml:space="preserve"> (5)</w:t>
            </w:r>
          </w:p>
        </w:tc>
      </w:tr>
      <w:tr w:rsidR="00E947DF" w:rsidRPr="00DB77BA">
        <w:tc>
          <w:tcPr>
            <w:tcW w:w="4428" w:type="dxa"/>
          </w:tcPr>
          <w:p w:rsidR="00E947DF" w:rsidRPr="00DB77BA" w:rsidRDefault="00E947DF" w:rsidP="00177B20">
            <w:pPr>
              <w:spacing w:before="40"/>
              <w:ind w:left="180"/>
              <w:rPr>
                <w:rFonts w:ascii="Times New Roman" w:eastAsiaTheme="majorEastAsia" w:hAnsi="Times New Roman" w:cs="Times New Roman"/>
                <w:i/>
                <w:iCs/>
                <w:color w:val="404040" w:themeColor="text1" w:themeTint="BF"/>
              </w:rPr>
            </w:pPr>
            <w:r w:rsidRPr="00DB77BA">
              <w:rPr>
                <w:rFonts w:ascii="Times New Roman" w:hAnsi="Times New Roman" w:cs="Times New Roman"/>
              </w:rPr>
              <w:t>The proportion of persons who report confidence in the quality of primary justice services they received or could receive</w:t>
            </w:r>
          </w:p>
        </w:tc>
        <w:tc>
          <w:tcPr>
            <w:tcW w:w="171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Public surveys</w:t>
            </w:r>
          </w:p>
        </w:tc>
        <w:tc>
          <w:tcPr>
            <w:tcW w:w="2430" w:type="dxa"/>
          </w:tcPr>
          <w:p w:rsidR="00E947DF" w:rsidRPr="00DB77BA" w:rsidRDefault="00E947DF" w:rsidP="00C36AC9">
            <w:pPr>
              <w:tabs>
                <w:tab w:val="center" w:pos="747"/>
              </w:tabs>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rPr>
              <w:t>Willis</w:t>
            </w:r>
            <w:r w:rsidR="0091363C">
              <w:rPr>
                <w:rFonts w:ascii="Times New Roman" w:hAnsi="Times New Roman" w:cs="Times New Roman"/>
              </w:rPr>
              <w:t xml:space="preserve"> (5)</w:t>
            </w:r>
            <w:r w:rsidRPr="00DB77BA">
              <w:rPr>
                <w:rFonts w:ascii="Times New Roman" w:hAnsi="Times New Roman" w:cs="Times New Roman"/>
              </w:rPr>
              <w:t>, UNDP, DFID</w:t>
            </w:r>
            <w:r w:rsidR="000B123C">
              <w:rPr>
                <w:rFonts w:ascii="Times New Roman" w:hAnsi="Times New Roman" w:cs="Times New Roman"/>
              </w:rPr>
              <w:t xml:space="preserve"> (21)</w:t>
            </w:r>
            <w:r w:rsidRPr="00DB77BA">
              <w:rPr>
                <w:rFonts w:ascii="Times New Roman" w:hAnsi="Times New Roman" w:cs="Times New Roman"/>
              </w:rPr>
              <w:t>, G7+</w:t>
            </w:r>
            <w:r w:rsidR="007870EE">
              <w:rPr>
                <w:rFonts w:ascii="Times New Roman" w:hAnsi="Times New Roman" w:cs="Times New Roman"/>
              </w:rPr>
              <w:t xml:space="preserve"> (5)</w:t>
            </w:r>
          </w:p>
        </w:tc>
      </w:tr>
      <w:tr w:rsidR="00E947DF" w:rsidRPr="00DB77BA">
        <w:tc>
          <w:tcPr>
            <w:tcW w:w="4428" w:type="dxa"/>
          </w:tcPr>
          <w:p w:rsidR="00E947DF" w:rsidRPr="00DB77BA" w:rsidRDefault="00E947DF" w:rsidP="00177B20">
            <w:pPr>
              <w:spacing w:before="40"/>
              <w:ind w:left="180"/>
              <w:rPr>
                <w:rFonts w:ascii="Times New Roman" w:eastAsiaTheme="majorEastAsia" w:hAnsi="Times New Roman" w:cs="Times New Roman"/>
                <w:i/>
                <w:iCs/>
                <w:color w:val="404040" w:themeColor="text1" w:themeTint="BF"/>
              </w:rPr>
            </w:pPr>
            <w:r w:rsidRPr="00DB77BA">
              <w:rPr>
                <w:rFonts w:ascii="Times New Roman" w:hAnsi="Times New Roman"/>
              </w:rPr>
              <w:t>The proportion of overall budget allocated to primary justice services as ratio of total government expenditure.</w:t>
            </w:r>
          </w:p>
        </w:tc>
        <w:tc>
          <w:tcPr>
            <w:tcW w:w="171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Budget analysis, legal analysis</w:t>
            </w:r>
          </w:p>
        </w:tc>
        <w:tc>
          <w:tcPr>
            <w:tcW w:w="2430" w:type="dxa"/>
          </w:tcPr>
          <w:p w:rsidR="00E947DF" w:rsidRPr="00DB77BA" w:rsidRDefault="00E947DF" w:rsidP="00A92519">
            <w:pPr>
              <w:spacing w:before="40"/>
              <w:jc w:val="center"/>
              <w:rPr>
                <w:rFonts w:ascii="Times New Roman" w:eastAsiaTheme="majorEastAsia" w:hAnsi="Times New Roman" w:cs="Times New Roman"/>
                <w:iCs/>
                <w:color w:val="404040" w:themeColor="text1" w:themeTint="BF"/>
              </w:rPr>
            </w:pPr>
            <w:r w:rsidRPr="00DB77BA">
              <w:rPr>
                <w:rFonts w:ascii="Times New Roman" w:eastAsiaTheme="majorEastAsia" w:hAnsi="Times New Roman" w:cs="Times New Roman"/>
                <w:iCs/>
                <w:color w:val="404040" w:themeColor="text1" w:themeTint="BF"/>
              </w:rPr>
              <w:t>G7+</w:t>
            </w:r>
            <w:r w:rsidR="007870EE">
              <w:rPr>
                <w:rFonts w:ascii="Times New Roman" w:eastAsiaTheme="majorEastAsia" w:hAnsi="Times New Roman" w:cs="Times New Roman"/>
                <w:iCs/>
                <w:color w:val="404040" w:themeColor="text1" w:themeTint="BF"/>
              </w:rPr>
              <w:t xml:space="preserve"> (5)</w:t>
            </w:r>
            <w:r w:rsidR="000B123C">
              <w:rPr>
                <w:rFonts w:ascii="Times New Roman" w:eastAsiaTheme="majorEastAsia" w:hAnsi="Times New Roman" w:cs="Times New Roman"/>
                <w:iCs/>
                <w:color w:val="404040" w:themeColor="text1" w:themeTint="BF"/>
              </w:rPr>
              <w:t>, DFID (22)</w:t>
            </w:r>
          </w:p>
        </w:tc>
      </w:tr>
    </w:tbl>
    <w:p w:rsidR="00E947DF" w:rsidRPr="00DB77BA" w:rsidRDefault="00E947DF" w:rsidP="00177B20">
      <w:pPr>
        <w:spacing w:before="40" w:after="0" w:line="240" w:lineRule="auto"/>
        <w:rPr>
          <w:rFonts w:ascii="Times New Roman" w:eastAsia="Times New Roman" w:hAnsi="Times New Roman" w:cs="Times New Roman"/>
          <w:i/>
        </w:rPr>
      </w:pPr>
    </w:p>
    <w:p w:rsidR="00E947DF" w:rsidRPr="00DB77BA" w:rsidDel="00C31572" w:rsidRDefault="00E947DF" w:rsidP="00177B20">
      <w:pPr>
        <w:spacing w:before="40" w:after="0" w:line="240" w:lineRule="auto"/>
        <w:rPr>
          <w:rFonts w:ascii="Times New Roman" w:eastAsia="Times New Roman" w:hAnsi="Times New Roman" w:cs="Times New Roman"/>
          <w:i/>
        </w:rPr>
      </w:pPr>
    </w:p>
    <w:p w:rsidR="00A27F30" w:rsidRDefault="00A27F30" w:rsidP="00177B20">
      <w:pPr>
        <w:spacing w:before="40" w:after="0" w:line="240" w:lineRule="auto"/>
        <w:rPr>
          <w:rFonts w:ascii="Times New Roman" w:eastAsia="Times New Roman" w:hAnsi="Times New Roman" w:cs="Times New Roman"/>
        </w:rPr>
      </w:pPr>
    </w:p>
    <w:p w:rsidR="00E947DF" w:rsidRPr="00DB77BA" w:rsidRDefault="00E947DF" w:rsidP="00177B20">
      <w:pPr>
        <w:spacing w:before="40" w:after="0" w:line="240" w:lineRule="auto"/>
        <w:rPr>
          <w:rFonts w:ascii="Times New Roman" w:hAnsi="Times New Roman" w:cs="Times New Roman"/>
        </w:rPr>
      </w:pPr>
      <w:r w:rsidRPr="00DB77BA">
        <w:rPr>
          <w:rFonts w:ascii="Times New Roman" w:eastAsia="Times New Roman" w:hAnsi="Times New Roman" w:cs="Times New Roman"/>
        </w:rPr>
        <w:t>The table below</w:t>
      </w:r>
      <w:r w:rsidRPr="00DB77BA">
        <w:rPr>
          <w:rFonts w:ascii="Times New Roman" w:eastAsia="Times New Roman" w:hAnsi="Times New Roman" w:cstheme="minorHAnsi"/>
          <w:bCs/>
          <w:color w:val="000000"/>
          <w:szCs w:val="20"/>
          <w:lang w:eastAsia="zh-CN"/>
        </w:rPr>
        <w:t xml:space="preserve"> provides our rationale for proposing these targets and indicators.  </w:t>
      </w:r>
    </w:p>
    <w:p w:rsidR="00E947DF" w:rsidRPr="00DB77BA" w:rsidRDefault="00E947DF" w:rsidP="00177B20">
      <w:pPr>
        <w:spacing w:before="40" w:after="0" w:line="240" w:lineRule="auto"/>
        <w:rPr>
          <w:rFonts w:ascii="Times New Roman" w:hAnsi="Times New Roman" w:cs="Times New Roman"/>
          <w:i/>
        </w:rPr>
      </w:pPr>
    </w:p>
    <w:tbl>
      <w:tblPr>
        <w:tblStyle w:val="TableGrid"/>
        <w:tblW w:w="8550" w:type="dxa"/>
        <w:tblInd w:w="108" w:type="dxa"/>
        <w:tblLook w:val="00A0" w:firstRow="1" w:lastRow="0" w:firstColumn="1" w:lastColumn="0" w:noHBand="0" w:noVBand="0"/>
      </w:tblPr>
      <w:tblGrid>
        <w:gridCol w:w="2329"/>
        <w:gridCol w:w="6221"/>
      </w:tblGrid>
      <w:tr w:rsidR="00E947DF" w:rsidRPr="00DB77BA">
        <w:tc>
          <w:tcPr>
            <w:tcW w:w="2329" w:type="dxa"/>
            <w:shd w:val="clear" w:color="auto" w:fill="31849B" w:themeFill="accent5"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 xml:space="preserve">Criteria </w:t>
            </w:r>
          </w:p>
        </w:tc>
        <w:tc>
          <w:tcPr>
            <w:tcW w:w="6221" w:type="dxa"/>
            <w:shd w:val="clear" w:color="auto" w:fill="31849B" w:themeFill="accent5"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Evaluation</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Relevance to Theme</w:t>
            </w:r>
          </w:p>
        </w:tc>
        <w:tc>
          <w:tcPr>
            <w:tcW w:w="6221"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Physical and economic barriers often prevent the poor from accessing legal forums or obtaining legal assistance when needed. These commitments focus on improving access in the face of common constraints.</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Data Availability</w:t>
            </w:r>
          </w:p>
        </w:tc>
        <w:tc>
          <w:tcPr>
            <w:tcW w:w="6221" w:type="dxa"/>
          </w:tcPr>
          <w:p w:rsidR="00E947DF" w:rsidRPr="00DB77BA" w:rsidRDefault="00E947DF" w:rsidP="00624D00">
            <w:pPr>
              <w:spacing w:before="40"/>
              <w:rPr>
                <w:rFonts w:ascii="Times New Roman" w:hAnsi="Times New Roman" w:cs="Times New Roman"/>
              </w:rPr>
            </w:pPr>
            <w:r w:rsidRPr="00DB77BA">
              <w:rPr>
                <w:rFonts w:ascii="Times New Roman" w:hAnsi="Times New Roman" w:cs="Times New Roman"/>
              </w:rPr>
              <w:t xml:space="preserve">Government data on legal forums is readily available. Governments and civil society would need to cooperate to collect data on </w:t>
            </w:r>
            <w:r w:rsidR="0060064E">
              <w:rPr>
                <w:rFonts w:ascii="Times New Roman" w:hAnsi="Times New Roman" w:cs="Times New Roman"/>
              </w:rPr>
              <w:t xml:space="preserve">legal aid/ </w:t>
            </w:r>
            <w:r w:rsidRPr="00DB77BA">
              <w:rPr>
                <w:rFonts w:ascii="Times New Roman" w:hAnsi="Times New Roman" w:cs="Times New Roman"/>
              </w:rPr>
              <w:t xml:space="preserve">primary justice service providers, as services are often provided by NGOs.  However, this may be problematic in </w:t>
            </w:r>
            <w:r w:rsidR="00624D00">
              <w:rPr>
                <w:rFonts w:ascii="Times New Roman" w:hAnsi="Times New Roman" w:cs="Times New Roman"/>
              </w:rPr>
              <w:t xml:space="preserve">fragile and </w:t>
            </w:r>
            <w:r w:rsidRPr="00DB77BA">
              <w:rPr>
                <w:rFonts w:ascii="Times New Roman" w:hAnsi="Times New Roman" w:cs="Times New Roman"/>
              </w:rPr>
              <w:t>conflict-affected states,</w:t>
            </w:r>
            <w:r w:rsidR="00624D00">
              <w:rPr>
                <w:rFonts w:ascii="Times New Roman" w:hAnsi="Times New Roman" w:cs="Times New Roman"/>
              </w:rPr>
              <w:t xml:space="preserve"> states lacking political will,</w:t>
            </w:r>
            <w:r w:rsidRPr="00DB77BA">
              <w:rPr>
                <w:rFonts w:ascii="Times New Roman" w:hAnsi="Times New Roman" w:cs="Times New Roman"/>
              </w:rPr>
              <w:t xml:space="preserve"> and regions with poor communication and transportation infrastructure.  Increasingly, Geographic Information Systems (GIS) can overlay geographic population data with that of justice services so as to generate per capita ratios of coverage. </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Robust: Reliable, Valid, Comparable, Verifiable</w:t>
            </w:r>
          </w:p>
        </w:tc>
        <w:tc>
          <w:tcPr>
            <w:tcW w:w="6221" w:type="dxa"/>
          </w:tcPr>
          <w:p w:rsidR="00E947DF" w:rsidRPr="00DB77BA" w:rsidRDefault="00E947DF" w:rsidP="00F37206">
            <w:pPr>
              <w:spacing w:before="40"/>
              <w:rPr>
                <w:rFonts w:ascii="Times New Roman" w:hAnsi="Times New Roman" w:cs="Times New Roman"/>
              </w:rPr>
            </w:pPr>
            <w:r w:rsidRPr="00DB77BA">
              <w:rPr>
                <w:rFonts w:ascii="Times New Roman" w:hAnsi="Times New Roman" w:cs="Times New Roman"/>
              </w:rPr>
              <w:t xml:space="preserve">Again, data on the presence of legal forums and services is relatively reliable and verifiable.  Regarding primary justice services, differing definitions of what bundle of services should be provided, and of “access” and “affordability,” will make comparability across countries difficult.  This may be appropriate, however, given the variations in country context. </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Action-Oriented</w:t>
            </w:r>
          </w:p>
        </w:tc>
        <w:tc>
          <w:tcPr>
            <w:tcW w:w="6221" w:type="dxa"/>
          </w:tcPr>
          <w:p w:rsidR="00E947DF" w:rsidRPr="00DB77BA" w:rsidRDefault="00624D00" w:rsidP="0060064E">
            <w:pPr>
              <w:spacing w:before="40"/>
              <w:rPr>
                <w:rFonts w:ascii="Times New Roman" w:eastAsiaTheme="majorEastAsia" w:hAnsi="Times New Roman" w:cs="Times New Roman"/>
                <w:i/>
                <w:iCs/>
                <w:color w:val="404040" w:themeColor="text1" w:themeTint="BF"/>
              </w:rPr>
            </w:pPr>
            <w:r>
              <w:rPr>
                <w:rFonts w:ascii="Times New Roman" w:hAnsi="Times New Roman" w:cs="Times New Roman"/>
              </w:rPr>
              <w:t>These indicators</w:t>
            </w:r>
            <w:r w:rsidR="00E947DF" w:rsidRPr="00DB77BA">
              <w:rPr>
                <w:rFonts w:ascii="Times New Roman" w:hAnsi="Times New Roman" w:cs="Times New Roman"/>
              </w:rPr>
              <w:t xml:space="preserve"> motivate greater accessibility to legal forums, and more equitable, higher-quality, and systematic delivery of </w:t>
            </w:r>
            <w:r w:rsidR="0060064E">
              <w:rPr>
                <w:rFonts w:ascii="Times New Roman" w:hAnsi="Times New Roman" w:cs="Times New Roman"/>
              </w:rPr>
              <w:t>legal aid</w:t>
            </w:r>
            <w:r w:rsidR="00E947DF" w:rsidRPr="00DB77BA">
              <w:rPr>
                <w:rFonts w:ascii="Times New Roman" w:hAnsi="Times New Roman" w:cs="Times New Roman"/>
              </w:rPr>
              <w:t xml:space="preserve"> services.</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Universally Applicable</w:t>
            </w:r>
          </w:p>
        </w:tc>
        <w:tc>
          <w:tcPr>
            <w:tcW w:w="6221" w:type="dxa"/>
          </w:tcPr>
          <w:p w:rsidR="00E947DF" w:rsidRPr="00DB77BA" w:rsidRDefault="00E947DF" w:rsidP="0060064E">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All countries could improve on the availability of legal forums and </w:t>
            </w:r>
            <w:r w:rsidR="0060064E">
              <w:rPr>
                <w:rFonts w:ascii="Times New Roman" w:hAnsi="Times New Roman" w:cs="Times New Roman"/>
              </w:rPr>
              <w:t>legal aid</w:t>
            </w:r>
            <w:r w:rsidRPr="00DB77BA">
              <w:rPr>
                <w:rFonts w:ascii="Times New Roman" w:hAnsi="Times New Roman" w:cs="Times New Roman"/>
              </w:rPr>
              <w:t xml:space="preserve">. One of the most universally needed of these commitments is the affordability requirement. Although in some developed nations there is no shortage of lawyers, financial barriers to obtaining legal assistance, traveling to legal forums, or paying court fees still remain for many. </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Equality-Sensitivity</w:t>
            </w:r>
          </w:p>
        </w:tc>
        <w:tc>
          <w:tcPr>
            <w:tcW w:w="6221" w:type="dxa"/>
          </w:tcPr>
          <w:p w:rsidR="00E947DF" w:rsidRPr="00DB77BA" w:rsidRDefault="00E947DF" w:rsidP="0060064E">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Increased provision of affordable legal services is likely to make</w:t>
            </w:r>
            <w:r w:rsidR="00A31E9F">
              <w:rPr>
                <w:rFonts w:ascii="Times New Roman" w:hAnsi="Times New Roman" w:cs="Times New Roman"/>
              </w:rPr>
              <w:t xml:space="preserve"> </w:t>
            </w:r>
            <w:r w:rsidRPr="00DB77BA">
              <w:rPr>
                <w:rFonts w:ascii="Times New Roman" w:hAnsi="Times New Roman" w:cs="Times New Roman"/>
              </w:rPr>
              <w:t xml:space="preserve">a difference for the most marginalized. Measuring by a per capita ratio not only at the national level, but also across smaller administrative units </w:t>
            </w:r>
            <w:r w:rsidR="0060064E">
              <w:rPr>
                <w:rFonts w:ascii="Times New Roman" w:hAnsi="Times New Roman" w:cs="Times New Roman"/>
              </w:rPr>
              <w:t>can address</w:t>
            </w:r>
            <w:r w:rsidRPr="00DB77BA">
              <w:rPr>
                <w:rFonts w:ascii="Times New Roman" w:hAnsi="Times New Roman" w:cs="Times New Roman"/>
              </w:rPr>
              <w:t xml:space="preserve"> some of the sub-national distribution problems in such a commitment. </w:t>
            </w:r>
          </w:p>
        </w:tc>
      </w:tr>
      <w:tr w:rsidR="00E947DF" w:rsidRPr="00DB77BA">
        <w:tc>
          <w:tcPr>
            <w:tcW w:w="2329"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Absence of Perverse Incentives</w:t>
            </w:r>
          </w:p>
        </w:tc>
        <w:tc>
          <w:tcPr>
            <w:tcW w:w="6221" w:type="dxa"/>
          </w:tcPr>
          <w:p w:rsidR="00E947DF" w:rsidRPr="00DB77BA" w:rsidRDefault="00E947DF" w:rsidP="0060064E">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First, public perception may not be the most appropriate way to assess whether legal forums are functioning effectively, or whether people are receiving high quality </w:t>
            </w:r>
            <w:r w:rsidR="0060064E">
              <w:rPr>
                <w:rFonts w:ascii="Times New Roman" w:hAnsi="Times New Roman" w:cs="Times New Roman"/>
              </w:rPr>
              <w:t>legal aid</w:t>
            </w:r>
            <w:r w:rsidRPr="00DB77BA">
              <w:rPr>
                <w:rFonts w:ascii="Times New Roman" w:hAnsi="Times New Roman" w:cs="Times New Roman"/>
              </w:rPr>
              <w:t xml:space="preserve">. </w:t>
            </w:r>
            <w:r w:rsidR="0060064E">
              <w:rPr>
                <w:rFonts w:ascii="Times New Roman" w:hAnsi="Times New Roman" w:cs="Times New Roman"/>
              </w:rPr>
              <w:t>Also</w:t>
            </w:r>
            <w:r w:rsidRPr="00DB77BA">
              <w:rPr>
                <w:rFonts w:ascii="Times New Roman" w:hAnsi="Times New Roman" w:cs="Times New Roman"/>
              </w:rPr>
              <w:t xml:space="preserve">, scaling up low quality services could be harmful.  Nevertheless, </w:t>
            </w:r>
            <w:r w:rsidR="0060064E">
              <w:rPr>
                <w:rFonts w:ascii="Times New Roman" w:hAnsi="Times New Roman" w:cs="Times New Roman"/>
              </w:rPr>
              <w:t>legal aid has</w:t>
            </w:r>
            <w:r w:rsidRPr="00DB77BA">
              <w:rPr>
                <w:rFonts w:ascii="Times New Roman" w:hAnsi="Times New Roman" w:cs="Times New Roman"/>
              </w:rPr>
              <w:t xml:space="preserve"> been </w:t>
            </w:r>
            <w:r w:rsidRPr="00DB77BA">
              <w:rPr>
                <w:rFonts w:ascii="Times New Roman" w:hAnsi="Times New Roman" w:cs="Times New Roman"/>
              </w:rPr>
              <w:lastRenderedPageBreak/>
              <w:t xml:space="preserve">a low priority in most countries thus far, and simply increasing coverage can be a useful first step to increasing state commitment. Second, there is the potential that </w:t>
            </w:r>
            <w:r w:rsidR="0060064E">
              <w:rPr>
                <w:rFonts w:ascii="Times New Roman" w:hAnsi="Times New Roman" w:cs="Times New Roman"/>
              </w:rPr>
              <w:t xml:space="preserve">paralegals and other legal aid </w:t>
            </w:r>
            <w:r w:rsidRPr="00DB77BA">
              <w:rPr>
                <w:rFonts w:ascii="Times New Roman" w:hAnsi="Times New Roman" w:cs="Times New Roman"/>
              </w:rPr>
              <w:t>providers could use their position for corrupt purposes, rather than the public i</w:t>
            </w:r>
            <w:r w:rsidR="0060064E">
              <w:rPr>
                <w:rFonts w:ascii="Times New Roman" w:hAnsi="Times New Roman" w:cs="Times New Roman"/>
              </w:rPr>
              <w:t>nterest. Community</w:t>
            </w:r>
            <w:r w:rsidRPr="00DB77BA">
              <w:rPr>
                <w:rFonts w:ascii="Times New Roman" w:hAnsi="Times New Roman" w:cs="Times New Roman"/>
              </w:rPr>
              <w:t xml:space="preserve"> oversight mechanisms could lessen this risk. </w:t>
            </w:r>
          </w:p>
        </w:tc>
      </w:tr>
    </w:tbl>
    <w:p w:rsidR="00E947DF" w:rsidRPr="00DB77BA" w:rsidRDefault="00E947DF" w:rsidP="00177B20">
      <w:pPr>
        <w:spacing w:before="40" w:after="0" w:line="240" w:lineRule="auto"/>
        <w:rPr>
          <w:rFonts w:ascii="Times New Roman" w:hAnsi="Times New Roman" w:cs="Times New Roman"/>
        </w:rPr>
      </w:pPr>
    </w:p>
    <w:p w:rsidR="00C95C79" w:rsidRDefault="00C95C79" w:rsidP="00177B20">
      <w:pPr>
        <w:spacing w:before="40" w:after="0" w:line="240" w:lineRule="auto"/>
        <w:rPr>
          <w:rFonts w:ascii="Times New Roman" w:hAnsi="Times New Roman" w:cs="Times New Roman"/>
          <w:b/>
          <w:i/>
          <w:sz w:val="24"/>
        </w:rPr>
      </w:pPr>
    </w:p>
    <w:p w:rsidR="00E947DF" w:rsidRPr="00DB77BA" w:rsidRDefault="006F496C" w:rsidP="00177B20">
      <w:pPr>
        <w:spacing w:before="40" w:after="0" w:line="240" w:lineRule="auto"/>
        <w:rPr>
          <w:rFonts w:ascii="Times New Roman" w:hAnsi="Times New Roman" w:cs="Times New Roman"/>
          <w:b/>
          <w:i/>
          <w:sz w:val="24"/>
        </w:rPr>
      </w:pPr>
      <w:r>
        <w:rPr>
          <w:rFonts w:ascii="Times New Roman" w:hAnsi="Times New Roman" w:cs="Times New Roman"/>
          <w:b/>
          <w:i/>
          <w:sz w:val="24"/>
        </w:rPr>
        <w:t xml:space="preserve">Target 16.9 </w:t>
      </w:r>
      <w:proofErr w:type="gramStart"/>
      <w:r>
        <w:rPr>
          <w:rFonts w:ascii="Times New Roman" w:hAnsi="Times New Roman" w:cs="Times New Roman"/>
          <w:b/>
          <w:i/>
          <w:sz w:val="24"/>
        </w:rPr>
        <w:t>By</w:t>
      </w:r>
      <w:proofErr w:type="gramEnd"/>
      <w:r>
        <w:rPr>
          <w:rFonts w:ascii="Times New Roman" w:hAnsi="Times New Roman" w:cs="Times New Roman"/>
          <w:b/>
          <w:i/>
          <w:sz w:val="24"/>
        </w:rPr>
        <w:t xml:space="preserve"> 2030 provide legal i</w:t>
      </w:r>
      <w:r w:rsidR="00E947DF" w:rsidRPr="00DB77BA">
        <w:rPr>
          <w:rFonts w:ascii="Times New Roman" w:hAnsi="Times New Roman" w:cs="Times New Roman"/>
          <w:b/>
          <w:i/>
          <w:sz w:val="24"/>
        </w:rPr>
        <w:t>dentity</w:t>
      </w:r>
      <w:r>
        <w:rPr>
          <w:rFonts w:ascii="Times New Roman" w:hAnsi="Times New Roman" w:cs="Times New Roman"/>
          <w:b/>
          <w:i/>
          <w:sz w:val="24"/>
        </w:rPr>
        <w:t xml:space="preserve"> for all including birth registration </w:t>
      </w:r>
    </w:p>
    <w:p w:rsidR="00E947DF" w:rsidRDefault="00E947DF" w:rsidP="00177B20">
      <w:pPr>
        <w:spacing w:before="40" w:after="0" w:line="240" w:lineRule="auto"/>
        <w:rPr>
          <w:rFonts w:ascii="Times New Roman" w:eastAsia="Times New Roman" w:hAnsi="Times New Roman" w:cs="Times New Roman"/>
          <w:i/>
        </w:rPr>
      </w:pPr>
    </w:p>
    <w:tbl>
      <w:tblPr>
        <w:tblStyle w:val="TableGrid"/>
        <w:tblpPr w:leftFromText="180" w:rightFromText="180" w:vertAnchor="text" w:horzAnchor="page" w:tblpX="1477" w:tblpY="273"/>
        <w:tblW w:w="8640" w:type="dxa"/>
        <w:tblLook w:val="00A0" w:firstRow="1" w:lastRow="0" w:firstColumn="1" w:lastColumn="0" w:noHBand="0" w:noVBand="0"/>
      </w:tblPr>
      <w:tblGrid>
        <w:gridCol w:w="4500"/>
        <w:gridCol w:w="2088"/>
        <w:gridCol w:w="2052"/>
      </w:tblGrid>
      <w:tr w:rsidR="006F496C" w:rsidRPr="00DB77BA" w:rsidTr="0092537F">
        <w:tc>
          <w:tcPr>
            <w:tcW w:w="8640" w:type="dxa"/>
            <w:gridSpan w:val="3"/>
            <w:tcBorders>
              <w:bottom w:val="single" w:sz="4" w:space="0" w:color="auto"/>
            </w:tcBorders>
            <w:shd w:val="clear" w:color="auto" w:fill="B2A1C7" w:themeFill="accent4" w:themeFillTint="99"/>
          </w:tcPr>
          <w:p w:rsidR="006F496C" w:rsidRPr="00DB77BA" w:rsidRDefault="006F496C" w:rsidP="0092537F">
            <w:pPr>
              <w:spacing w:before="40"/>
              <w:jc w:val="center"/>
              <w:rPr>
                <w:rFonts w:ascii="Times New Roman" w:eastAsia="Times New Roman" w:hAnsi="Times New Roman" w:cstheme="minorHAnsi"/>
                <w:b/>
                <w:bCs/>
                <w:color w:val="000000"/>
                <w:sz w:val="24"/>
                <w:szCs w:val="20"/>
                <w:lang w:eastAsia="zh-CN"/>
              </w:rPr>
            </w:pPr>
            <w:r w:rsidRPr="00DB77BA">
              <w:rPr>
                <w:rFonts w:ascii="Times New Roman" w:eastAsia="Times New Roman" w:hAnsi="Times New Roman" w:cstheme="minorHAnsi"/>
                <w:b/>
                <w:bCs/>
                <w:color w:val="000000"/>
                <w:sz w:val="24"/>
                <w:szCs w:val="20"/>
                <w:lang w:eastAsia="zh-CN"/>
              </w:rPr>
              <w:br/>
              <w:t>Universal birth registration implemented by law for all children in all countries</w:t>
            </w:r>
            <w:r w:rsidRPr="00DB77BA">
              <w:rPr>
                <w:rFonts w:ascii="Times New Roman" w:eastAsia="Times New Roman" w:hAnsi="Times New Roman" w:cs="Times New Roman"/>
                <w:b/>
                <w:sz w:val="24"/>
              </w:rPr>
              <w:t>.</w:t>
            </w:r>
            <w:r w:rsidRPr="00DB77BA">
              <w:rPr>
                <w:rFonts w:ascii="Times New Roman" w:eastAsia="Times New Roman" w:hAnsi="Times New Roman" w:cs="Times New Roman"/>
                <w:b/>
                <w:sz w:val="24"/>
              </w:rPr>
              <w:br/>
            </w:r>
          </w:p>
        </w:tc>
      </w:tr>
      <w:tr w:rsidR="006F496C" w:rsidRPr="00DB77BA" w:rsidTr="0092537F">
        <w:trPr>
          <w:trHeight w:val="400"/>
        </w:trPr>
        <w:tc>
          <w:tcPr>
            <w:tcW w:w="4500" w:type="dxa"/>
            <w:shd w:val="clear" w:color="auto" w:fill="E5DFEC" w:themeFill="accent4" w:themeFillTint="33"/>
          </w:tcPr>
          <w:p w:rsidR="006F496C" w:rsidRPr="00DB77BA" w:rsidRDefault="006F496C" w:rsidP="0092537F">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Possible Indicators</w:t>
            </w:r>
          </w:p>
        </w:tc>
        <w:tc>
          <w:tcPr>
            <w:tcW w:w="2088" w:type="dxa"/>
            <w:shd w:val="clear" w:color="auto" w:fill="E5DFEC" w:themeFill="accent4" w:themeFillTint="33"/>
          </w:tcPr>
          <w:p w:rsidR="006F496C" w:rsidRPr="00DB77BA" w:rsidRDefault="006F496C" w:rsidP="0092537F">
            <w:pPr>
              <w:spacing w:before="40"/>
              <w:jc w:val="center"/>
              <w:rPr>
                <w:rFonts w:ascii="Times New Roman" w:hAnsi="Times New Roman" w:cstheme="minorHAnsi"/>
                <w:color w:val="403152" w:themeColor="accent4" w:themeShade="80"/>
                <w:szCs w:val="20"/>
              </w:rPr>
            </w:pPr>
            <w:r w:rsidRPr="00DB77BA">
              <w:rPr>
                <w:rFonts w:ascii="Times New Roman" w:hAnsi="Times New Roman" w:cs="Times New Roman"/>
                <w:b/>
                <w:color w:val="403152" w:themeColor="accent4" w:themeShade="80"/>
              </w:rPr>
              <w:t>Data Collection Method</w:t>
            </w:r>
          </w:p>
        </w:tc>
        <w:tc>
          <w:tcPr>
            <w:tcW w:w="2052" w:type="dxa"/>
            <w:shd w:val="clear" w:color="auto" w:fill="E5DFEC" w:themeFill="accent4" w:themeFillTint="33"/>
          </w:tcPr>
          <w:p w:rsidR="006F496C" w:rsidRPr="00DB77BA" w:rsidRDefault="006F496C" w:rsidP="0092537F">
            <w:pPr>
              <w:spacing w:before="40"/>
              <w:jc w:val="center"/>
              <w:rPr>
                <w:rFonts w:ascii="Times New Roman" w:hAnsi="Times New Roman" w:cstheme="minorHAnsi"/>
                <w:color w:val="403152" w:themeColor="accent4" w:themeShade="80"/>
                <w:szCs w:val="20"/>
              </w:rPr>
            </w:pPr>
            <w:r w:rsidRPr="00DB77BA">
              <w:rPr>
                <w:rFonts w:ascii="Times New Roman" w:hAnsi="Times New Roman" w:cs="Times New Roman"/>
                <w:b/>
                <w:color w:val="403152" w:themeColor="accent4" w:themeShade="80"/>
              </w:rPr>
              <w:t xml:space="preserve">Similar proposals </w:t>
            </w:r>
          </w:p>
        </w:tc>
      </w:tr>
      <w:tr w:rsidR="006F496C" w:rsidRPr="00DB77BA" w:rsidTr="0092537F">
        <w:trPr>
          <w:trHeight w:val="400"/>
        </w:trPr>
        <w:tc>
          <w:tcPr>
            <w:tcW w:w="4500" w:type="dxa"/>
          </w:tcPr>
          <w:p w:rsidR="006F496C" w:rsidRPr="00DB77BA" w:rsidDel="004D1AED" w:rsidRDefault="006F496C" w:rsidP="0092537F">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Existence of legislation requiring births to be registered by an official institution</w:t>
            </w:r>
            <w:r>
              <w:rPr>
                <w:rFonts w:ascii="Times New Roman" w:hAnsi="Times New Roman" w:cs="Times New Roman"/>
              </w:rPr>
              <w:t>, which makes allowances for late birth registration</w:t>
            </w:r>
          </w:p>
        </w:tc>
        <w:tc>
          <w:tcPr>
            <w:tcW w:w="2088"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Legal analysis</w:t>
            </w:r>
          </w:p>
        </w:tc>
        <w:tc>
          <w:tcPr>
            <w:tcW w:w="2052"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UNICEF,</w:t>
            </w:r>
            <w:r>
              <w:rPr>
                <w:rFonts w:ascii="Times New Roman" w:hAnsi="Times New Roman" w:cstheme="minorHAnsi"/>
                <w:szCs w:val="20"/>
              </w:rPr>
              <w:t xml:space="preserve"> Lawson-Remer (13), Soros and Abed</w:t>
            </w:r>
            <w:r w:rsidRPr="00DB77BA">
              <w:rPr>
                <w:rFonts w:ascii="Times New Roman" w:hAnsi="Times New Roman" w:cstheme="minorHAnsi"/>
                <w:szCs w:val="20"/>
              </w:rPr>
              <w:t>, Langford, Plan and UNHCR</w:t>
            </w:r>
          </w:p>
        </w:tc>
      </w:tr>
      <w:tr w:rsidR="006F496C" w:rsidRPr="00DB77BA" w:rsidTr="0092537F">
        <w:tc>
          <w:tcPr>
            <w:tcW w:w="4500" w:type="dxa"/>
          </w:tcPr>
          <w:p w:rsidR="006F496C" w:rsidRPr="00DB77BA" w:rsidRDefault="006F496C" w:rsidP="0092537F">
            <w:pPr>
              <w:spacing w:before="40"/>
              <w:rPr>
                <w:rFonts w:ascii="Times New Roman" w:eastAsia="Times New Roman" w:hAnsi="Times New Roman" w:cstheme="minorHAnsi"/>
                <w:bCs/>
                <w:i/>
                <w:iCs/>
                <w:color w:val="000000"/>
                <w:szCs w:val="20"/>
                <w:lang w:eastAsia="zh-CN"/>
              </w:rPr>
            </w:pPr>
            <w:r w:rsidRPr="00DB77BA">
              <w:rPr>
                <w:rFonts w:ascii="Times New Roman" w:hAnsi="Times New Roman" w:cs="Times New Roman"/>
              </w:rPr>
              <w:t>Proportion of babies who receive registration at birth per year</w:t>
            </w:r>
          </w:p>
        </w:tc>
        <w:tc>
          <w:tcPr>
            <w:tcW w:w="2088"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052"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UNICEF, Lawson-Remer</w:t>
            </w:r>
            <w:r>
              <w:rPr>
                <w:rFonts w:ascii="Times New Roman" w:hAnsi="Times New Roman" w:cstheme="minorHAnsi"/>
                <w:szCs w:val="20"/>
              </w:rPr>
              <w:t xml:space="preserve"> (13)</w:t>
            </w:r>
            <w:r w:rsidRPr="00DB77BA">
              <w:rPr>
                <w:rFonts w:ascii="Times New Roman" w:hAnsi="Times New Roman" w:cstheme="minorHAnsi"/>
                <w:szCs w:val="20"/>
              </w:rPr>
              <w:t>, Brinkman</w:t>
            </w:r>
            <w:r>
              <w:rPr>
                <w:rFonts w:ascii="Times New Roman" w:hAnsi="Times New Roman" w:cstheme="minorHAnsi"/>
                <w:szCs w:val="20"/>
              </w:rPr>
              <w:t xml:space="preserve"> (12),  Andrews</w:t>
            </w:r>
          </w:p>
        </w:tc>
      </w:tr>
    </w:tbl>
    <w:p w:rsidR="006F496C" w:rsidRPr="00DB77BA" w:rsidRDefault="006F496C" w:rsidP="00177B20">
      <w:pPr>
        <w:spacing w:before="40" w:after="0" w:line="240" w:lineRule="auto"/>
        <w:rPr>
          <w:rFonts w:ascii="Times New Roman" w:eastAsia="Times New Roman" w:hAnsi="Times New Roman" w:cs="Times New Roman"/>
          <w:i/>
        </w:rPr>
      </w:pPr>
    </w:p>
    <w:tbl>
      <w:tblPr>
        <w:tblStyle w:val="TableGrid"/>
        <w:tblpPr w:leftFromText="180" w:rightFromText="180" w:vertAnchor="text" w:horzAnchor="page" w:tblpX="1477" w:tblpY="273"/>
        <w:tblW w:w="8640" w:type="dxa"/>
        <w:tblLook w:val="00A0" w:firstRow="1" w:lastRow="0" w:firstColumn="1" w:lastColumn="0" w:noHBand="0" w:noVBand="0"/>
      </w:tblPr>
      <w:tblGrid>
        <w:gridCol w:w="4500"/>
        <w:gridCol w:w="2088"/>
        <w:gridCol w:w="2052"/>
      </w:tblGrid>
      <w:tr w:rsidR="00E947DF" w:rsidRPr="00DB77BA">
        <w:tc>
          <w:tcPr>
            <w:tcW w:w="8640" w:type="dxa"/>
            <w:gridSpan w:val="3"/>
            <w:tcBorders>
              <w:bottom w:val="single" w:sz="4" w:space="0" w:color="auto"/>
            </w:tcBorders>
            <w:shd w:val="clear" w:color="auto" w:fill="B2A1C7" w:themeFill="accent4" w:themeFillTint="99"/>
          </w:tcPr>
          <w:p w:rsidR="00E947DF" w:rsidRPr="00DB77BA" w:rsidRDefault="00E947DF" w:rsidP="006F496C">
            <w:pPr>
              <w:spacing w:before="40"/>
              <w:rPr>
                <w:rFonts w:ascii="Times New Roman" w:hAnsi="Times New Roman" w:cs="Times New Roman"/>
                <w:b/>
              </w:rPr>
            </w:pPr>
            <w:r w:rsidRPr="00DB77BA">
              <w:rPr>
                <w:rFonts w:ascii="Times New Roman" w:hAnsi="Times New Roman" w:cs="Times New Roman"/>
                <w:b/>
                <w:sz w:val="24"/>
              </w:rPr>
              <w:br/>
            </w:r>
            <w:r w:rsidR="006F496C">
              <w:rPr>
                <w:rFonts w:ascii="Times New Roman" w:eastAsia="Times New Roman" w:hAnsi="Times New Roman" w:cstheme="minorHAnsi"/>
                <w:b/>
                <w:bCs/>
                <w:color w:val="000000"/>
                <w:sz w:val="24"/>
                <w:szCs w:val="20"/>
                <w:lang w:eastAsia="zh-CN"/>
              </w:rPr>
              <w:t>P</w:t>
            </w:r>
            <w:r w:rsidR="006F496C" w:rsidRPr="006F496C">
              <w:rPr>
                <w:rFonts w:ascii="Times New Roman" w:eastAsia="Times New Roman" w:hAnsi="Times New Roman" w:cstheme="minorHAnsi"/>
                <w:b/>
                <w:bCs/>
                <w:color w:val="000000"/>
                <w:sz w:val="24"/>
                <w:szCs w:val="20"/>
                <w:lang w:eastAsia="zh-CN"/>
              </w:rPr>
              <w:t xml:space="preserve">rovide legal identity for all </w:t>
            </w:r>
          </w:p>
        </w:tc>
      </w:tr>
      <w:tr w:rsidR="00E947DF" w:rsidRPr="00DB77BA">
        <w:trPr>
          <w:trHeight w:val="240"/>
        </w:trPr>
        <w:tc>
          <w:tcPr>
            <w:tcW w:w="4500"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Possible Indicators</w:t>
            </w:r>
          </w:p>
        </w:tc>
        <w:tc>
          <w:tcPr>
            <w:tcW w:w="2088"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Data Collection Method</w:t>
            </w:r>
          </w:p>
        </w:tc>
        <w:tc>
          <w:tcPr>
            <w:tcW w:w="2052"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 xml:space="preserve">Similar proposals </w:t>
            </w:r>
          </w:p>
        </w:tc>
      </w:tr>
      <w:tr w:rsidR="00E947DF" w:rsidRPr="00DB77BA">
        <w:trPr>
          <w:trHeight w:val="240"/>
        </w:trPr>
        <w:tc>
          <w:tcPr>
            <w:tcW w:w="4500" w:type="dxa"/>
          </w:tcPr>
          <w:p w:rsidR="00E947DF" w:rsidRPr="00DB77BA" w:rsidRDefault="00E947DF" w:rsidP="00177B20">
            <w:pPr>
              <w:spacing w:before="40"/>
              <w:rPr>
                <w:rFonts w:ascii="Times New Roman" w:hAnsi="Times New Roman" w:cs="Times New Roman"/>
              </w:rPr>
            </w:pPr>
            <w:r w:rsidRPr="00DB77BA">
              <w:rPr>
                <w:rFonts w:ascii="Times New Roman" w:eastAsia="Times New Roman" w:hAnsi="Times New Roman" w:cstheme="minorHAnsi"/>
                <w:bCs/>
                <w:color w:val="000000"/>
                <w:lang w:eastAsia="zh-CN"/>
              </w:rPr>
              <w:t>The proportion of people in a state who possess a registered form of legal identification</w:t>
            </w:r>
          </w:p>
        </w:tc>
        <w:tc>
          <w:tcPr>
            <w:tcW w:w="2088"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Administrative data,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052" w:type="dxa"/>
          </w:tcPr>
          <w:p w:rsidR="00E947DF" w:rsidRPr="00DB77BA" w:rsidRDefault="00E947DF" w:rsidP="00A92519">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UNHCR, Podesta</w:t>
            </w:r>
            <w:r w:rsidR="00322B23">
              <w:rPr>
                <w:rFonts w:ascii="Times New Roman" w:hAnsi="Times New Roman" w:cs="Times New Roman"/>
              </w:rPr>
              <w:t>, Brinkman (12)</w:t>
            </w:r>
          </w:p>
        </w:tc>
      </w:tr>
      <w:tr w:rsidR="00E947DF" w:rsidRPr="00DB77BA">
        <w:tc>
          <w:tcPr>
            <w:tcW w:w="45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 fair, transparent and accessible process for obtaining legal identification exists</w:t>
            </w:r>
          </w:p>
        </w:tc>
        <w:tc>
          <w:tcPr>
            <w:tcW w:w="2088"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Legal analysis,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 public surveys</w:t>
            </w:r>
          </w:p>
        </w:tc>
        <w:tc>
          <w:tcPr>
            <w:tcW w:w="2052" w:type="dxa"/>
          </w:tcPr>
          <w:p w:rsidR="00E947DF" w:rsidRPr="00DB77BA" w:rsidRDefault="00E947DF" w:rsidP="00177B20">
            <w:pPr>
              <w:spacing w:before="40"/>
              <w:rPr>
                <w:rFonts w:ascii="Times New Roman" w:hAnsi="Times New Roman" w:cs="Times New Roman"/>
              </w:rPr>
            </w:pPr>
          </w:p>
        </w:tc>
      </w:tr>
      <w:tr w:rsidR="00E947DF" w:rsidRPr="00DB77BA">
        <w:tc>
          <w:tcPr>
            <w:tcW w:w="4500" w:type="dxa"/>
          </w:tcPr>
          <w:p w:rsidR="00E947DF" w:rsidRPr="00DB77BA" w:rsidRDefault="00E947DF" w:rsidP="00177B20">
            <w:pPr>
              <w:spacing w:before="40"/>
              <w:rPr>
                <w:rFonts w:ascii="Times New Roman" w:hAnsi="Times New Roman" w:cs="Times New Roman"/>
              </w:rPr>
            </w:pPr>
            <w:r w:rsidRPr="00DB77BA">
              <w:rPr>
                <w:rFonts w:ascii="Times New Roman" w:hAnsi="Times New Roman" w:cstheme="minorHAnsi"/>
                <w:szCs w:val="20"/>
              </w:rPr>
              <w:t>The proportion of requests for identity documents fulfilled or rejected on stated grounds within a reasonable amount of time, defined as X days</w:t>
            </w:r>
          </w:p>
        </w:tc>
        <w:tc>
          <w:tcPr>
            <w:tcW w:w="2088" w:type="dxa"/>
          </w:tcPr>
          <w:p w:rsidR="00E947DF" w:rsidRPr="00DB77BA" w:rsidRDefault="00E947DF" w:rsidP="00177B20">
            <w:pPr>
              <w:spacing w:before="40"/>
              <w:rPr>
                <w:rFonts w:ascii="Times New Roman" w:hAnsi="Times New Roman" w:cs="Times New Roman"/>
              </w:rPr>
            </w:pPr>
            <w:r w:rsidRPr="00DB77BA">
              <w:rPr>
                <w:rFonts w:ascii="Times New Roman" w:hAnsi="Times New Roman" w:cs="Times New Roman"/>
              </w:rPr>
              <w:t>Administrative data,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052" w:type="dxa"/>
          </w:tcPr>
          <w:p w:rsidR="00E947DF" w:rsidRPr="00DB77BA" w:rsidRDefault="00E947DF" w:rsidP="00A92519">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UNHCR</w:t>
            </w:r>
          </w:p>
        </w:tc>
      </w:tr>
      <w:tr w:rsidR="0014277C" w:rsidRPr="00DB77BA">
        <w:tc>
          <w:tcPr>
            <w:tcW w:w="4500" w:type="dxa"/>
          </w:tcPr>
          <w:p w:rsidR="0014277C" w:rsidRPr="00DB77BA" w:rsidRDefault="0014277C" w:rsidP="0014277C">
            <w:pPr>
              <w:spacing w:before="40"/>
              <w:rPr>
                <w:rFonts w:ascii="Times New Roman" w:hAnsi="Times New Roman" w:cstheme="minorHAnsi"/>
                <w:szCs w:val="20"/>
              </w:rPr>
            </w:pPr>
            <w:r>
              <w:rPr>
                <w:rFonts w:ascii="Times New Roman" w:eastAsia="Times New Roman" w:hAnsi="Times New Roman" w:cstheme="minorHAnsi"/>
                <w:bCs/>
                <w:color w:val="000000"/>
                <w:lang w:eastAsia="zh-CN"/>
              </w:rPr>
              <w:t>The proportion</w:t>
            </w:r>
            <w:r w:rsidRPr="00F00872">
              <w:rPr>
                <w:rFonts w:ascii="Times New Roman" w:eastAsia="Times New Roman" w:hAnsi="Times New Roman" w:cstheme="minorHAnsi"/>
                <w:bCs/>
                <w:color w:val="000000"/>
                <w:lang w:eastAsia="zh-CN"/>
              </w:rPr>
              <w:t xml:space="preserve"> of </w:t>
            </w:r>
            <w:r>
              <w:rPr>
                <w:rFonts w:ascii="Times New Roman" w:eastAsia="Times New Roman" w:hAnsi="Times New Roman" w:cstheme="minorHAnsi"/>
                <w:bCs/>
                <w:color w:val="000000"/>
                <w:lang w:eastAsia="zh-CN"/>
              </w:rPr>
              <w:t>people</w:t>
            </w:r>
            <w:r w:rsidRPr="00F00872">
              <w:rPr>
                <w:rFonts w:ascii="Times New Roman" w:eastAsia="Times New Roman" w:hAnsi="Times New Roman" w:cstheme="minorHAnsi"/>
                <w:bCs/>
                <w:color w:val="000000"/>
                <w:lang w:eastAsia="zh-CN"/>
              </w:rPr>
              <w:t xml:space="preserve"> denied access to services</w:t>
            </w:r>
            <w:r>
              <w:rPr>
                <w:rFonts w:ascii="Times New Roman" w:eastAsia="Times New Roman" w:hAnsi="Times New Roman" w:cstheme="minorHAnsi"/>
                <w:bCs/>
                <w:color w:val="000000"/>
                <w:lang w:eastAsia="zh-CN"/>
              </w:rPr>
              <w:t xml:space="preserve"> (e.g. healthcare, education)</w:t>
            </w:r>
            <w:r w:rsidRPr="00F00872">
              <w:rPr>
                <w:rFonts w:ascii="Times New Roman" w:eastAsia="Times New Roman" w:hAnsi="Times New Roman" w:cstheme="minorHAnsi"/>
                <w:bCs/>
                <w:color w:val="000000"/>
                <w:lang w:eastAsia="zh-CN"/>
              </w:rPr>
              <w:t xml:space="preserve"> because of </w:t>
            </w:r>
            <w:r w:rsidRPr="00F00872">
              <w:rPr>
                <w:rFonts w:ascii="Times New Roman" w:eastAsia="Times New Roman" w:hAnsi="Times New Roman" w:cstheme="minorHAnsi"/>
                <w:bCs/>
                <w:color w:val="000000"/>
                <w:lang w:eastAsia="zh-CN"/>
              </w:rPr>
              <w:lastRenderedPageBreak/>
              <w:t>lack of identity documentation</w:t>
            </w:r>
          </w:p>
        </w:tc>
        <w:tc>
          <w:tcPr>
            <w:tcW w:w="2088" w:type="dxa"/>
          </w:tcPr>
          <w:p w:rsidR="0014277C" w:rsidRPr="00DB77BA" w:rsidRDefault="0014277C" w:rsidP="0014277C">
            <w:pPr>
              <w:spacing w:before="40"/>
              <w:rPr>
                <w:rFonts w:ascii="Times New Roman" w:hAnsi="Times New Roman" w:cs="Times New Roman"/>
              </w:rPr>
            </w:pPr>
            <w:r w:rsidRPr="00000432">
              <w:rPr>
                <w:rFonts w:ascii="Times New Roman" w:hAnsi="Times New Roman" w:cs="Times New Roman"/>
              </w:rPr>
              <w:lastRenderedPageBreak/>
              <w:t>Administrative data, 3</w:t>
            </w:r>
            <w:r w:rsidRPr="00000432">
              <w:rPr>
                <w:rFonts w:ascii="Times New Roman" w:hAnsi="Times New Roman" w:cs="Times New Roman"/>
                <w:vertAlign w:val="superscript"/>
              </w:rPr>
              <w:t>rd</w:t>
            </w:r>
            <w:r w:rsidRPr="00000432">
              <w:rPr>
                <w:rFonts w:ascii="Times New Roman" w:hAnsi="Times New Roman" w:cs="Times New Roman"/>
              </w:rPr>
              <w:t xml:space="preserve"> party monitoring</w:t>
            </w:r>
          </w:p>
        </w:tc>
        <w:tc>
          <w:tcPr>
            <w:tcW w:w="2052" w:type="dxa"/>
          </w:tcPr>
          <w:p w:rsidR="0014277C" w:rsidRPr="00DB77BA" w:rsidRDefault="0014277C" w:rsidP="0014277C">
            <w:pPr>
              <w:spacing w:before="40"/>
              <w:rPr>
                <w:rFonts w:ascii="Times New Roman" w:hAnsi="Times New Roman" w:cs="Times New Roman"/>
              </w:rPr>
            </w:pPr>
          </w:p>
        </w:tc>
      </w:tr>
    </w:tbl>
    <w:p w:rsidR="00E947DF" w:rsidRPr="00DB77BA" w:rsidRDefault="00E947DF" w:rsidP="00A27F30">
      <w:pPr>
        <w:spacing w:after="0"/>
        <w:rPr>
          <w:rFonts w:ascii="Times New Roman" w:hAnsi="Times New Roman"/>
        </w:rPr>
      </w:pPr>
    </w:p>
    <w:p w:rsidR="00C95C79" w:rsidRPr="00DB77BA" w:rsidRDefault="00C95C79" w:rsidP="00177B20">
      <w:pPr>
        <w:spacing w:before="40" w:after="0" w:line="240" w:lineRule="auto"/>
        <w:rPr>
          <w:rFonts w:ascii="Times New Roman" w:eastAsia="Times New Roman" w:hAnsi="Times New Roman" w:cstheme="minorHAnsi"/>
          <w:bCs/>
          <w:i/>
          <w:color w:val="000000"/>
          <w:szCs w:val="20"/>
          <w:lang w:eastAsia="zh-CN"/>
        </w:rPr>
      </w:pPr>
    </w:p>
    <w:tbl>
      <w:tblPr>
        <w:tblStyle w:val="TableGrid"/>
        <w:tblW w:w="8640" w:type="dxa"/>
        <w:tblInd w:w="18" w:type="dxa"/>
        <w:tblLook w:val="00A0" w:firstRow="1" w:lastRow="0" w:firstColumn="1" w:lastColumn="0" w:noHBand="0" w:noVBand="0"/>
      </w:tblPr>
      <w:tblGrid>
        <w:gridCol w:w="2700"/>
        <w:gridCol w:w="5940"/>
      </w:tblGrid>
      <w:tr w:rsidR="00E947DF" w:rsidRPr="00DB77BA">
        <w:tc>
          <w:tcPr>
            <w:tcW w:w="2700" w:type="dxa"/>
            <w:shd w:val="clear" w:color="auto" w:fill="5F497A" w:themeFill="accent4"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 xml:space="preserve">Criteria </w:t>
            </w:r>
          </w:p>
        </w:tc>
        <w:tc>
          <w:tcPr>
            <w:tcW w:w="5940" w:type="dxa"/>
            <w:shd w:val="clear" w:color="auto" w:fill="5F497A" w:themeFill="accent4"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Evaluation</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Relevance to Theme</w:t>
            </w:r>
          </w:p>
        </w:tc>
        <w:tc>
          <w:tcPr>
            <w:tcW w:w="5940" w:type="dxa"/>
          </w:tcPr>
          <w:p w:rsidR="00E947DF" w:rsidRPr="00DB77BA" w:rsidRDefault="00E947DF" w:rsidP="00887991">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Possession of ident</w:t>
            </w:r>
            <w:r w:rsidR="00887991">
              <w:rPr>
                <w:rFonts w:ascii="Times New Roman" w:hAnsi="Times New Roman" w:cs="Times New Roman"/>
              </w:rPr>
              <w:t xml:space="preserve">ity documents reduces political, </w:t>
            </w:r>
            <w:r w:rsidRPr="00DB77BA">
              <w:rPr>
                <w:rFonts w:ascii="Times New Roman" w:hAnsi="Times New Roman" w:cs="Times New Roman"/>
              </w:rPr>
              <w:t>economic</w:t>
            </w:r>
            <w:r w:rsidR="00887991">
              <w:rPr>
                <w:rFonts w:ascii="Times New Roman" w:hAnsi="Times New Roman" w:cs="Times New Roman"/>
              </w:rPr>
              <w:t>, and social</w:t>
            </w:r>
            <w:r w:rsidRPr="00DB77BA">
              <w:rPr>
                <w:rFonts w:ascii="Times New Roman" w:hAnsi="Times New Roman" w:cs="Times New Roman"/>
              </w:rPr>
              <w:t xml:space="preserve"> vulnerability.  </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Data Availability</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Legal identity documents and birth registration is tracked by many national governments as well as UNICEF and the World Bank population indicators. </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Robust: Reliable, Valid, Comparable, Verifiable</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The indicators chosen look at the existence of a law or a proportion of state populations, making for objective and comparable indicators across nations.  </w:t>
            </w:r>
            <w:r w:rsidR="00887991" w:rsidRPr="00DB77BA">
              <w:rPr>
                <w:rFonts w:ascii="Times New Roman" w:hAnsi="Times New Roman" w:cs="Times New Roman"/>
              </w:rPr>
              <w:t>While it will be difficult to ensure that states accurately report populations of stateless persons, numerous third party sources measure these populations.</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Action-Oriented</w:t>
            </w:r>
          </w:p>
        </w:tc>
        <w:tc>
          <w:tcPr>
            <w:tcW w:w="5940" w:type="dxa"/>
          </w:tcPr>
          <w:p w:rsidR="00E947DF" w:rsidRPr="00DB77BA" w:rsidRDefault="0060064E" w:rsidP="00887991">
            <w:pPr>
              <w:spacing w:before="40"/>
              <w:rPr>
                <w:rFonts w:ascii="Times New Roman" w:eastAsiaTheme="majorEastAsia" w:hAnsi="Times New Roman" w:cs="Times New Roman"/>
                <w:i/>
                <w:iCs/>
                <w:color w:val="404040" w:themeColor="text1" w:themeTint="BF"/>
              </w:rPr>
            </w:pPr>
            <w:r>
              <w:rPr>
                <w:rFonts w:ascii="Times New Roman" w:hAnsi="Times New Roman" w:cs="Times New Roman"/>
              </w:rPr>
              <w:t>These indicators incentivize governments to expand access to legal identity and eliminate discrimination against those who lack legal identity.</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Universally Applicable</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The issue of undocumented persons affects all states, whether due to migration flows, conflicts, discrimination, or low administrative capacity. High-income countries do have much higher rates of legal identity and</w:t>
            </w:r>
            <w:r w:rsidR="00887991">
              <w:rPr>
                <w:rFonts w:ascii="Times New Roman" w:hAnsi="Times New Roman" w:cs="Times New Roman"/>
              </w:rPr>
              <w:t xml:space="preserve"> birth registration, however. R</w:t>
            </w:r>
            <w:r w:rsidRPr="00DB77BA">
              <w:rPr>
                <w:rFonts w:ascii="Times New Roman" w:hAnsi="Times New Roman" w:cs="Times New Roman"/>
              </w:rPr>
              <w:t>eforms would</w:t>
            </w:r>
            <w:r w:rsidR="00887991">
              <w:rPr>
                <w:rFonts w:ascii="Times New Roman" w:hAnsi="Times New Roman" w:cs="Times New Roman"/>
              </w:rPr>
              <w:t xml:space="preserve"> therefore</w:t>
            </w:r>
            <w:r w:rsidRPr="00DB77BA">
              <w:rPr>
                <w:rFonts w:ascii="Times New Roman" w:hAnsi="Times New Roman" w:cs="Times New Roman"/>
              </w:rPr>
              <w:t xml:space="preserve"> fall disproportionately to middle and low-income countries, and those with large indigenous populations.</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Equality-Sensitivity</w:t>
            </w:r>
          </w:p>
        </w:tc>
        <w:tc>
          <w:tcPr>
            <w:tcW w:w="5940" w:type="dxa"/>
          </w:tcPr>
          <w:p w:rsidR="00E947DF" w:rsidRPr="00DB77BA" w:rsidRDefault="00E947DF" w:rsidP="00896358">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This goal seeks to address the present inequality experienced by undocumented persons, empowering both the current population and those yet-to-be-born with one of their universal human rights. The implementation of nondiscriminatory laws and practices for</w:t>
            </w:r>
            <w:r w:rsidR="00896358">
              <w:rPr>
                <w:rFonts w:ascii="Times New Roman" w:hAnsi="Times New Roman" w:cs="Times New Roman"/>
              </w:rPr>
              <w:t xml:space="preserve"> granting identity documents offers strong</w:t>
            </w:r>
            <w:r w:rsidRPr="00DB77BA">
              <w:rPr>
                <w:rFonts w:ascii="Times New Roman" w:hAnsi="Times New Roman" w:cs="Times New Roman"/>
              </w:rPr>
              <w:t xml:space="preserve"> protection of undocumented persons’ rights.</w:t>
            </w:r>
            <w:r w:rsidRPr="00DB77BA">
              <w:rPr>
                <w:rStyle w:val="EndnoteReference"/>
                <w:rFonts w:ascii="Times New Roman" w:hAnsi="Times New Roman" w:cs="Times New Roman"/>
              </w:rPr>
              <w:endnoteReference w:id="2"/>
            </w:r>
          </w:p>
        </w:tc>
      </w:tr>
      <w:tr w:rsidR="00E947DF" w:rsidRPr="00DB77BA">
        <w:trPr>
          <w:trHeight w:val="314"/>
        </w:trPr>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Absence of Perverse Incentives</w:t>
            </w:r>
          </w:p>
        </w:tc>
        <w:tc>
          <w:tcPr>
            <w:tcW w:w="5940" w:type="dxa"/>
          </w:tcPr>
          <w:p w:rsidR="00E947DF" w:rsidRPr="00DB77BA" w:rsidRDefault="00E947DF" w:rsidP="00896358">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This law inherently deprives individuals of some privacy by documenting their personhood in state institutions. Some governments may seek to misuse these procedures, for example to persecute or deport certain minorities.</w:t>
            </w:r>
            <w:r w:rsidR="00896992">
              <w:rPr>
                <w:rFonts w:ascii="Times New Roman" w:hAnsi="Times New Roman" w:cs="Times New Roman"/>
              </w:rPr>
              <w:t xml:space="preserve"> </w:t>
            </w:r>
            <w:r w:rsidR="008D37A7">
              <w:rPr>
                <w:rFonts w:ascii="Times New Roman" w:hAnsi="Times New Roman" w:cs="Times New Roman"/>
              </w:rPr>
              <w:t>A focus on legal identity may also lead governments to</w:t>
            </w:r>
            <w:r w:rsidR="00896992">
              <w:rPr>
                <w:rFonts w:ascii="Times New Roman" w:hAnsi="Times New Roman" w:cs="Times New Roman"/>
              </w:rPr>
              <w:t xml:space="preserve"> </w:t>
            </w:r>
            <w:r w:rsidR="008D37A7">
              <w:rPr>
                <w:rFonts w:ascii="Times New Roman" w:hAnsi="Times New Roman" w:cs="Times New Roman"/>
              </w:rPr>
              <w:t>rely on formal do</w:t>
            </w:r>
            <w:r w:rsidR="00896358">
              <w:rPr>
                <w:rFonts w:ascii="Times New Roman" w:hAnsi="Times New Roman" w:cs="Times New Roman"/>
              </w:rPr>
              <w:t>cumentation too much by implementing identity requirements for basic services. The indicator measuring the proportion of people denied access to services for lack of identity addresses this risk.</w:t>
            </w:r>
          </w:p>
        </w:tc>
      </w:tr>
    </w:tbl>
    <w:p w:rsidR="00A27F30" w:rsidRDefault="00A27F30" w:rsidP="008D37A7">
      <w:pPr>
        <w:spacing w:before="40" w:after="0" w:line="240" w:lineRule="auto"/>
        <w:rPr>
          <w:rFonts w:ascii="Times New Roman" w:hAnsi="Times New Roman" w:cs="Times New Roman"/>
        </w:rPr>
      </w:pPr>
    </w:p>
    <w:p w:rsidR="00E947DF" w:rsidRPr="00DB77BA" w:rsidRDefault="00E947DF" w:rsidP="008D37A7">
      <w:pPr>
        <w:spacing w:before="40" w:after="0" w:line="240" w:lineRule="auto"/>
        <w:rPr>
          <w:rFonts w:ascii="Times New Roman" w:hAnsi="Times New Roman" w:cs="Times New Roman"/>
        </w:rPr>
      </w:pPr>
    </w:p>
    <w:p w:rsidR="00E947DF" w:rsidRPr="00A27F30" w:rsidRDefault="00507907" w:rsidP="00A27F30">
      <w:pPr>
        <w:rPr>
          <w:rFonts w:ascii="Times New Roman" w:hAnsi="Times New Roman" w:cs="Times New Roman"/>
          <w:b/>
          <w:i/>
          <w:sz w:val="24"/>
        </w:rPr>
      </w:pPr>
      <w:r w:rsidRPr="00507907">
        <w:rPr>
          <w:rFonts w:ascii="Times New Roman" w:hAnsi="Times New Roman" w:cs="Times New Roman"/>
          <w:b/>
          <w:i/>
          <w:sz w:val="24"/>
        </w:rPr>
        <w:lastRenderedPageBreak/>
        <w:t>16.10 Ensure public access to information and protect fundamental freedoms, in accordance with national legislation and international agreements</w:t>
      </w:r>
    </w:p>
    <w:tbl>
      <w:tblPr>
        <w:tblStyle w:val="TableGrid"/>
        <w:tblpPr w:leftFromText="180" w:rightFromText="180" w:vertAnchor="text" w:horzAnchor="page" w:tblpX="1549" w:tblpY="361"/>
        <w:tblW w:w="8658" w:type="dxa"/>
        <w:tblLook w:val="00A0" w:firstRow="1" w:lastRow="0" w:firstColumn="1" w:lastColumn="0" w:noHBand="0" w:noVBand="0"/>
      </w:tblPr>
      <w:tblGrid>
        <w:gridCol w:w="4608"/>
        <w:gridCol w:w="1710"/>
        <w:gridCol w:w="2340"/>
      </w:tblGrid>
      <w:tr w:rsidR="00E947DF" w:rsidRPr="00DB77BA">
        <w:trPr>
          <w:trHeight w:val="997"/>
        </w:trPr>
        <w:tc>
          <w:tcPr>
            <w:tcW w:w="8658" w:type="dxa"/>
            <w:gridSpan w:val="3"/>
            <w:tcBorders>
              <w:bottom w:val="single" w:sz="4" w:space="0" w:color="auto"/>
            </w:tcBorders>
            <w:shd w:val="clear" w:color="auto" w:fill="FABF8F" w:themeFill="accent6" w:themeFillTint="99"/>
          </w:tcPr>
          <w:p w:rsidR="00507907" w:rsidRDefault="00507907" w:rsidP="00177B20">
            <w:pPr>
              <w:spacing w:before="40"/>
              <w:jc w:val="center"/>
              <w:rPr>
                <w:rFonts w:ascii="Times New Roman" w:hAnsi="Times New Roman" w:cstheme="minorHAnsi"/>
                <w:b/>
                <w:szCs w:val="20"/>
              </w:rPr>
            </w:pPr>
            <w:r>
              <w:rPr>
                <w:rFonts w:ascii="Times New Roman" w:hAnsi="Times New Roman" w:cstheme="minorHAnsi"/>
                <w:b/>
                <w:szCs w:val="20"/>
              </w:rPr>
              <w:t xml:space="preserve"> </w:t>
            </w:r>
          </w:p>
          <w:p w:rsidR="00E947DF" w:rsidRPr="00DB77BA" w:rsidRDefault="00E947DF" w:rsidP="00177B20">
            <w:pPr>
              <w:spacing w:before="40"/>
              <w:jc w:val="center"/>
              <w:rPr>
                <w:rFonts w:ascii="Times New Roman" w:hAnsi="Times New Roman" w:cs="Times New Roman"/>
                <w:b/>
              </w:rPr>
            </w:pPr>
            <w:r w:rsidRPr="00DB77BA">
              <w:rPr>
                <w:rFonts w:ascii="Times New Roman" w:hAnsi="Times New Roman" w:cstheme="minorHAnsi"/>
                <w:b/>
                <w:sz w:val="24"/>
                <w:szCs w:val="20"/>
              </w:rPr>
              <w:t xml:space="preserve"> Universal and effective implementation of</w:t>
            </w:r>
            <w:r w:rsidRPr="00DB77BA">
              <w:rPr>
                <w:rFonts w:ascii="Times New Roman" w:eastAsia="Times New Roman" w:hAnsi="Times New Roman" w:cstheme="minorHAnsi"/>
                <w:b/>
                <w:bCs/>
                <w:color w:val="000000"/>
                <w:sz w:val="24"/>
                <w:szCs w:val="20"/>
                <w:lang w:eastAsia="zh-CN"/>
              </w:rPr>
              <w:t xml:space="preserve"> comprehensive right to information legislation</w:t>
            </w:r>
            <w:r w:rsidRPr="00DB77BA">
              <w:rPr>
                <w:rFonts w:ascii="Times New Roman" w:eastAsia="Times New Roman" w:hAnsi="Times New Roman" w:cstheme="minorHAnsi"/>
                <w:b/>
                <w:bCs/>
                <w:color w:val="000000"/>
                <w:szCs w:val="20"/>
                <w:lang w:eastAsia="zh-CN"/>
              </w:rPr>
              <w:br/>
            </w:r>
          </w:p>
        </w:tc>
      </w:tr>
      <w:tr w:rsidR="00E947DF" w:rsidRPr="00DB77BA">
        <w:trPr>
          <w:trHeight w:val="618"/>
        </w:trPr>
        <w:tc>
          <w:tcPr>
            <w:tcW w:w="4608" w:type="dxa"/>
            <w:shd w:val="clear" w:color="auto" w:fill="FDE9D9" w:themeFill="accent6" w:themeFillTint="33"/>
          </w:tcPr>
          <w:p w:rsidR="00E947DF" w:rsidRPr="00DB77BA" w:rsidRDefault="00E947DF" w:rsidP="00177B20">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b/>
              </w:rPr>
              <w:t>Possible Indicators</w:t>
            </w:r>
          </w:p>
        </w:tc>
        <w:tc>
          <w:tcPr>
            <w:tcW w:w="1710" w:type="dxa"/>
            <w:shd w:val="clear" w:color="auto" w:fill="FDE9D9" w:themeFill="accent6" w:themeFillTint="33"/>
          </w:tcPr>
          <w:p w:rsidR="00E947DF" w:rsidRPr="00DB77BA" w:rsidRDefault="00E947DF" w:rsidP="00177B20">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b/>
              </w:rPr>
              <w:t>Data Collection Method</w:t>
            </w:r>
          </w:p>
        </w:tc>
        <w:tc>
          <w:tcPr>
            <w:tcW w:w="2340" w:type="dxa"/>
            <w:shd w:val="clear" w:color="auto" w:fill="FDE9D9" w:themeFill="accent6" w:themeFillTint="33"/>
          </w:tcPr>
          <w:p w:rsidR="00E947DF" w:rsidRPr="00DB77BA" w:rsidRDefault="00E947DF" w:rsidP="00177B20">
            <w:pPr>
              <w:spacing w:before="40"/>
              <w:jc w:val="center"/>
              <w:rPr>
                <w:rFonts w:ascii="Times New Roman" w:eastAsiaTheme="majorEastAsia" w:hAnsi="Times New Roman" w:cs="Times New Roman"/>
                <w:i/>
                <w:iCs/>
                <w:color w:val="404040" w:themeColor="text1" w:themeTint="BF"/>
              </w:rPr>
            </w:pPr>
            <w:r w:rsidRPr="00DB77BA">
              <w:rPr>
                <w:rFonts w:ascii="Times New Roman" w:hAnsi="Times New Roman" w:cs="Times New Roman"/>
                <w:b/>
              </w:rPr>
              <w:t>Similar proposals</w:t>
            </w:r>
          </w:p>
        </w:tc>
      </w:tr>
      <w:tr w:rsidR="00224B31" w:rsidRPr="00DB77BA">
        <w:trPr>
          <w:trHeight w:val="1163"/>
        </w:trPr>
        <w:tc>
          <w:tcPr>
            <w:tcW w:w="4608" w:type="dxa"/>
          </w:tcPr>
          <w:p w:rsidR="00E947DF" w:rsidRPr="00DB77BA" w:rsidRDefault="00AE1E15" w:rsidP="00083D32">
            <w:pPr>
              <w:spacing w:before="40"/>
              <w:rPr>
                <w:rFonts w:ascii="Times New Roman" w:eastAsiaTheme="majorEastAsia" w:hAnsi="Times New Roman" w:cs="Times New Roman"/>
                <w:i/>
                <w:iCs/>
                <w:color w:val="404040" w:themeColor="text1" w:themeTint="BF"/>
              </w:rPr>
            </w:pPr>
            <w:r>
              <w:rPr>
                <w:rFonts w:ascii="Times New Roman" w:hAnsi="Times New Roman" w:cs="Times New Roman"/>
              </w:rPr>
              <w:t>Existence of a</w:t>
            </w:r>
            <w:r w:rsidRPr="00000432">
              <w:rPr>
                <w:rFonts w:ascii="Times New Roman" w:hAnsi="Times New Roman" w:cs="Times New Roman"/>
              </w:rPr>
              <w:t xml:space="preserve"> Right to Information Law that establishes </w:t>
            </w:r>
            <w:r>
              <w:rPr>
                <w:rFonts w:ascii="Times New Roman" w:hAnsi="Times New Roman" w:cs="Times New Roman"/>
              </w:rPr>
              <w:t xml:space="preserve">(1) </w:t>
            </w:r>
            <w:r w:rsidRPr="00000432">
              <w:rPr>
                <w:rFonts w:ascii="Times New Roman" w:hAnsi="Times New Roman" w:cs="Times New Roman"/>
              </w:rPr>
              <w:t>citizens’</w:t>
            </w:r>
            <w:r>
              <w:rPr>
                <w:rFonts w:ascii="Times New Roman" w:hAnsi="Times New Roman" w:cs="Times New Roman"/>
              </w:rPr>
              <w:t xml:space="preserve"> </w:t>
            </w:r>
            <w:r w:rsidRPr="00000432">
              <w:rPr>
                <w:rFonts w:ascii="Times New Roman" w:hAnsi="Times New Roman" w:cs="Times New Roman"/>
              </w:rPr>
              <w:t xml:space="preserve">access </w:t>
            </w:r>
            <w:r>
              <w:rPr>
                <w:rFonts w:ascii="Times New Roman" w:hAnsi="Times New Roman" w:cs="Times New Roman"/>
              </w:rPr>
              <w:t xml:space="preserve">to information, including budget documents and expenditures, (2) defines a time limit </w:t>
            </w:r>
            <w:r w:rsidRPr="00DB77BA">
              <w:rPr>
                <w:rFonts w:ascii="Times New Roman" w:hAnsi="Times New Roman" w:cstheme="minorHAnsi"/>
                <w:szCs w:val="20"/>
              </w:rPr>
              <w:t>for responding to RTI requests</w:t>
            </w:r>
            <w:r>
              <w:rPr>
                <w:rFonts w:ascii="Times New Roman" w:hAnsi="Times New Roman" w:cstheme="minorHAnsi"/>
                <w:szCs w:val="20"/>
              </w:rPr>
              <w:t>, and (3) establishes</w:t>
            </w:r>
            <w:r w:rsidRPr="00DB77BA">
              <w:rPr>
                <w:rFonts w:ascii="Times New Roman" w:hAnsi="Times New Roman" w:cstheme="minorHAnsi"/>
                <w:szCs w:val="20"/>
              </w:rPr>
              <w:t xml:space="preserve"> a mechanism for appeal in the event of denial.</w:t>
            </w:r>
          </w:p>
        </w:tc>
        <w:tc>
          <w:tcPr>
            <w:tcW w:w="171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Legal analysis</w:t>
            </w:r>
          </w:p>
        </w:tc>
        <w:tc>
          <w:tcPr>
            <w:tcW w:w="2340" w:type="dxa"/>
          </w:tcPr>
          <w:p w:rsidR="00E947DF" w:rsidRPr="00DB77BA" w:rsidRDefault="00E947DF" w:rsidP="007726DD">
            <w:pPr>
              <w:spacing w:before="40"/>
              <w:rPr>
                <w:rFonts w:ascii="Times New Roman" w:eastAsia="Times New Roman" w:hAnsi="Times New Roman" w:cstheme="minorHAnsi"/>
                <w:i/>
                <w:iCs/>
                <w:color w:val="000000"/>
                <w:szCs w:val="20"/>
                <w:lang w:eastAsia="zh-CN"/>
              </w:rPr>
            </w:pPr>
            <w:proofErr w:type="spellStart"/>
            <w:r w:rsidRPr="00DB77BA">
              <w:rPr>
                <w:rFonts w:ascii="Times New Roman" w:eastAsia="Times New Roman" w:hAnsi="Times New Roman" w:cstheme="minorHAnsi"/>
                <w:iCs/>
                <w:color w:val="000000"/>
                <w:szCs w:val="20"/>
                <w:lang w:eastAsia="zh-CN"/>
              </w:rPr>
              <w:t>Banisar</w:t>
            </w:r>
            <w:proofErr w:type="spellEnd"/>
            <w:r w:rsidR="00A27F30">
              <w:rPr>
                <w:rFonts w:ascii="Times New Roman" w:eastAsia="Times New Roman" w:hAnsi="Times New Roman" w:cstheme="minorHAnsi"/>
                <w:iCs/>
                <w:color w:val="000000"/>
                <w:szCs w:val="20"/>
                <w:lang w:eastAsia="zh-CN"/>
              </w:rPr>
              <w:t xml:space="preserve"> (Privacy International)</w:t>
            </w:r>
            <w:r w:rsidRPr="00DB77BA">
              <w:rPr>
                <w:rFonts w:ascii="Times New Roman" w:eastAsia="Times New Roman" w:hAnsi="Times New Roman" w:cstheme="minorHAnsi"/>
                <w:iCs/>
                <w:color w:val="000000"/>
                <w:szCs w:val="20"/>
                <w:lang w:eastAsia="zh-CN"/>
              </w:rPr>
              <w:t xml:space="preserve">, </w:t>
            </w:r>
            <w:proofErr w:type="spellStart"/>
            <w:r w:rsidRPr="00DB77BA">
              <w:rPr>
                <w:rFonts w:ascii="Times New Roman" w:eastAsia="Times New Roman" w:hAnsi="Times New Roman" w:cstheme="minorHAnsi"/>
                <w:iCs/>
                <w:color w:val="000000"/>
                <w:szCs w:val="20"/>
                <w:lang w:eastAsia="zh-CN"/>
              </w:rPr>
              <w:t>Coliver</w:t>
            </w:r>
            <w:proofErr w:type="spellEnd"/>
            <w:r w:rsidR="00A27F30">
              <w:rPr>
                <w:rFonts w:ascii="Times New Roman" w:eastAsia="Times New Roman" w:hAnsi="Times New Roman" w:cstheme="minorHAnsi"/>
                <w:iCs/>
                <w:color w:val="000000"/>
                <w:szCs w:val="20"/>
                <w:lang w:eastAsia="zh-CN"/>
              </w:rPr>
              <w:t xml:space="preserve"> (OSJI)</w:t>
            </w:r>
            <w:r w:rsidRPr="00DB77BA">
              <w:rPr>
                <w:rFonts w:ascii="Times New Roman" w:eastAsia="Times New Roman" w:hAnsi="Times New Roman" w:cstheme="minorHAnsi"/>
                <w:iCs/>
                <w:color w:val="000000"/>
                <w:szCs w:val="20"/>
                <w:lang w:eastAsia="zh-CN"/>
              </w:rPr>
              <w:t xml:space="preserve">, </w:t>
            </w:r>
            <w:proofErr w:type="spellStart"/>
            <w:r w:rsidRPr="00DB77BA">
              <w:rPr>
                <w:rFonts w:ascii="Times New Roman" w:eastAsia="Times New Roman" w:hAnsi="Times New Roman" w:cstheme="minorHAnsi"/>
                <w:iCs/>
                <w:color w:val="000000"/>
                <w:szCs w:val="20"/>
                <w:lang w:eastAsia="zh-CN"/>
              </w:rPr>
              <w:t>Dokeniya</w:t>
            </w:r>
            <w:proofErr w:type="spellEnd"/>
            <w:r w:rsidRPr="00DB77BA">
              <w:rPr>
                <w:rFonts w:ascii="Times New Roman" w:eastAsia="Times New Roman" w:hAnsi="Times New Roman" w:cstheme="minorHAnsi"/>
                <w:iCs/>
                <w:color w:val="000000"/>
                <w:szCs w:val="20"/>
                <w:lang w:eastAsia="zh-CN"/>
              </w:rPr>
              <w:t xml:space="preserve">, </w:t>
            </w:r>
            <w:proofErr w:type="spellStart"/>
            <w:r w:rsidR="007726DD">
              <w:rPr>
                <w:rFonts w:ascii="Times New Roman" w:eastAsia="Times New Roman" w:hAnsi="Times New Roman" w:cstheme="minorHAnsi"/>
                <w:iCs/>
                <w:color w:val="000000"/>
                <w:szCs w:val="20"/>
                <w:lang w:eastAsia="zh-CN"/>
              </w:rPr>
              <w:t>Frecheville</w:t>
            </w:r>
            <w:proofErr w:type="spellEnd"/>
            <w:r w:rsidR="007726DD">
              <w:rPr>
                <w:rFonts w:ascii="Times New Roman" w:eastAsia="Times New Roman" w:hAnsi="Times New Roman" w:cstheme="minorHAnsi"/>
                <w:iCs/>
                <w:color w:val="000000"/>
                <w:szCs w:val="20"/>
                <w:lang w:eastAsia="zh-CN"/>
              </w:rPr>
              <w:t xml:space="preserve"> (CAFOD), </w:t>
            </w:r>
            <w:r w:rsidRPr="00DB77BA">
              <w:rPr>
                <w:rFonts w:ascii="Times New Roman" w:hAnsi="Times New Roman" w:cstheme="minorHAnsi"/>
                <w:szCs w:val="20"/>
              </w:rPr>
              <w:t xml:space="preserve">Global Integrity, </w:t>
            </w:r>
            <w:r w:rsidRPr="00DB77BA">
              <w:rPr>
                <w:rFonts w:ascii="Times New Roman" w:eastAsia="Times New Roman" w:hAnsi="Times New Roman" w:cstheme="minorHAnsi"/>
                <w:iCs/>
                <w:color w:val="000000"/>
                <w:szCs w:val="20"/>
                <w:lang w:eastAsia="zh-CN"/>
              </w:rPr>
              <w:t xml:space="preserve">International Budget Partnership, </w:t>
            </w:r>
            <w:r w:rsidRPr="00DB77BA">
              <w:rPr>
                <w:rFonts w:ascii="Times New Roman" w:hAnsi="Times New Roman" w:cstheme="minorHAnsi"/>
                <w:szCs w:val="20"/>
              </w:rPr>
              <w:t>Global Campaign for Aid Transparency</w:t>
            </w:r>
            <w:r w:rsidR="007726DD" w:rsidRPr="00DB77BA">
              <w:rPr>
                <w:rFonts w:ascii="Times New Roman" w:eastAsia="Times New Roman" w:hAnsi="Times New Roman" w:cstheme="minorHAnsi"/>
                <w:iCs/>
                <w:color w:val="000000"/>
                <w:szCs w:val="20"/>
                <w:lang w:eastAsia="zh-CN"/>
              </w:rPr>
              <w:t>, Mendel</w:t>
            </w:r>
            <w:r w:rsidR="007726DD">
              <w:rPr>
                <w:rFonts w:ascii="Times New Roman" w:eastAsia="Times New Roman" w:hAnsi="Times New Roman" w:cstheme="minorHAnsi"/>
                <w:iCs/>
                <w:color w:val="000000"/>
                <w:szCs w:val="20"/>
                <w:lang w:eastAsia="zh-CN"/>
              </w:rPr>
              <w:t xml:space="preserve">, </w:t>
            </w:r>
            <w:proofErr w:type="spellStart"/>
            <w:r w:rsidRPr="00DB77BA">
              <w:rPr>
                <w:rFonts w:ascii="Times New Roman" w:eastAsia="Times New Roman" w:hAnsi="Times New Roman" w:cstheme="minorHAnsi"/>
                <w:iCs/>
                <w:color w:val="000000"/>
                <w:szCs w:val="20"/>
                <w:lang w:eastAsia="zh-CN"/>
              </w:rPr>
              <w:t>Vleugels</w:t>
            </w:r>
            <w:proofErr w:type="spellEnd"/>
          </w:p>
        </w:tc>
      </w:tr>
      <w:tr w:rsidR="00224B31" w:rsidRPr="00DB77BA">
        <w:trPr>
          <w:trHeight w:val="748"/>
        </w:trPr>
        <w:tc>
          <w:tcPr>
            <w:tcW w:w="4608" w:type="dxa"/>
          </w:tcPr>
          <w:p w:rsidR="00224B31" w:rsidRPr="00DB77BA" w:rsidDel="00C44CD8" w:rsidRDefault="00550173"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imes New Roman"/>
              </w:rPr>
              <w:t xml:space="preserve">RTI law has been published and publicized, with information </w:t>
            </w:r>
            <w:r w:rsidRPr="00DB77BA">
              <w:rPr>
                <w:rFonts w:ascii="Times New Roman" w:hAnsi="Times New Roman"/>
                <w:color w:val="222222"/>
                <w:szCs w:val="21"/>
                <w:shd w:val="clear" w:color="auto" w:fill="FFFFFF"/>
              </w:rPr>
              <w:t>posted online and in public physical spaces</w:t>
            </w:r>
          </w:p>
        </w:tc>
        <w:tc>
          <w:tcPr>
            <w:tcW w:w="1710" w:type="dxa"/>
          </w:tcPr>
          <w:p w:rsidR="00224B31" w:rsidRPr="00DB77BA" w:rsidRDefault="00224B31"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 public surveys</w:t>
            </w:r>
          </w:p>
        </w:tc>
        <w:tc>
          <w:tcPr>
            <w:tcW w:w="2340" w:type="dxa"/>
          </w:tcPr>
          <w:p w:rsidR="00224B31" w:rsidRPr="00DB77BA" w:rsidRDefault="00224B31" w:rsidP="00177B20">
            <w:pPr>
              <w:spacing w:before="40"/>
              <w:rPr>
                <w:rFonts w:ascii="Times New Roman" w:eastAsiaTheme="majorEastAsia" w:hAnsi="Times New Roman" w:cs="Times New Roman"/>
                <w:i/>
                <w:iCs/>
                <w:color w:val="404040" w:themeColor="text1" w:themeTint="BF"/>
              </w:rPr>
            </w:pPr>
          </w:p>
        </w:tc>
      </w:tr>
      <w:tr w:rsidR="001D602A" w:rsidRPr="00DB77BA">
        <w:trPr>
          <w:trHeight w:val="249"/>
        </w:trPr>
        <w:tc>
          <w:tcPr>
            <w:tcW w:w="4608" w:type="dxa"/>
          </w:tcPr>
          <w:p w:rsidR="001D602A" w:rsidRPr="00DB77BA" w:rsidDel="00224B31"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The number of citizen requests for information per capita</w:t>
            </w:r>
          </w:p>
        </w:tc>
        <w:tc>
          <w:tcPr>
            <w:tcW w:w="1710" w:type="dxa"/>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340" w:type="dxa"/>
          </w:tcPr>
          <w:p w:rsidR="001D602A" w:rsidRPr="00DB77BA" w:rsidRDefault="001D602A" w:rsidP="00A92519">
            <w:pPr>
              <w:spacing w:before="40"/>
              <w:rPr>
                <w:rFonts w:ascii="Times New Roman" w:eastAsiaTheme="majorEastAsia" w:hAnsi="Times New Roman" w:cstheme="minorHAnsi"/>
                <w:i/>
                <w:iCs/>
                <w:color w:val="404040" w:themeColor="text1" w:themeTint="BF"/>
                <w:szCs w:val="20"/>
              </w:rPr>
            </w:pPr>
            <w:proofErr w:type="spellStart"/>
            <w:r w:rsidRPr="00DB77BA">
              <w:rPr>
                <w:rFonts w:ascii="Times New Roman" w:hAnsi="Times New Roman" w:cstheme="minorHAnsi"/>
                <w:szCs w:val="20"/>
              </w:rPr>
              <w:t>Dokeniya</w:t>
            </w:r>
            <w:proofErr w:type="spellEnd"/>
            <w:r w:rsidRPr="00DB77BA">
              <w:rPr>
                <w:rFonts w:ascii="Times New Roman" w:hAnsi="Times New Roman" w:cstheme="minorHAnsi"/>
                <w:szCs w:val="20"/>
              </w:rPr>
              <w:t xml:space="preserve">, </w:t>
            </w:r>
            <w:r w:rsidRPr="00DB77BA">
              <w:rPr>
                <w:rFonts w:ascii="Times New Roman" w:hAnsi="Times New Roman"/>
              </w:rPr>
              <w:t>Pape–</w:t>
            </w:r>
            <w:proofErr w:type="spellStart"/>
            <w:r w:rsidRPr="00DB77BA">
              <w:rPr>
                <w:rFonts w:ascii="Times New Roman" w:hAnsi="Times New Roman"/>
              </w:rPr>
              <w:t>Yalibat</w:t>
            </w:r>
            <w:proofErr w:type="spellEnd"/>
          </w:p>
        </w:tc>
      </w:tr>
      <w:tr w:rsidR="001D602A" w:rsidRPr="00DB77BA">
        <w:trPr>
          <w:trHeight w:val="498"/>
        </w:trPr>
        <w:tc>
          <w:tcPr>
            <w:tcW w:w="4608" w:type="dxa"/>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The rate of refusals for requests for information per total number of requests for information</w:t>
            </w:r>
          </w:p>
        </w:tc>
        <w:tc>
          <w:tcPr>
            <w:tcW w:w="1710" w:type="dxa"/>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340" w:type="dxa"/>
          </w:tcPr>
          <w:p w:rsidR="001D602A" w:rsidRPr="00DB77BA" w:rsidRDefault="001D602A" w:rsidP="00A92519">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rPr>
              <w:t>Pape–</w:t>
            </w:r>
            <w:proofErr w:type="spellStart"/>
            <w:r w:rsidRPr="00DB77BA">
              <w:rPr>
                <w:rFonts w:ascii="Times New Roman" w:hAnsi="Times New Roman"/>
              </w:rPr>
              <w:t>Yalibat</w:t>
            </w:r>
            <w:proofErr w:type="spellEnd"/>
          </w:p>
        </w:tc>
      </w:tr>
      <w:tr w:rsidR="001D602A" w:rsidRPr="00DB77BA">
        <w:trPr>
          <w:trHeight w:val="748"/>
        </w:trPr>
        <w:tc>
          <w:tcPr>
            <w:tcW w:w="4608" w:type="dxa"/>
            <w:tcBorders>
              <w:bottom w:val="single" w:sz="4" w:space="0" w:color="auto"/>
            </w:tcBorders>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The proportion of requests for information answered fully in a reasonable amount of time, defined as X days</w:t>
            </w:r>
          </w:p>
        </w:tc>
        <w:tc>
          <w:tcPr>
            <w:tcW w:w="1710" w:type="dxa"/>
            <w:tcBorders>
              <w:bottom w:val="single" w:sz="4" w:space="0" w:color="auto"/>
            </w:tcBorders>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340" w:type="dxa"/>
            <w:tcBorders>
              <w:bottom w:val="single" w:sz="4" w:space="0" w:color="auto"/>
            </w:tcBorders>
          </w:tcPr>
          <w:p w:rsidR="001D602A" w:rsidRPr="00DB77BA" w:rsidRDefault="001D602A" w:rsidP="00A92519">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 xml:space="preserve">Global Integrity, </w:t>
            </w:r>
            <w:proofErr w:type="spellStart"/>
            <w:r w:rsidRPr="00DB77BA">
              <w:rPr>
                <w:rFonts w:ascii="Times New Roman" w:hAnsi="Times New Roman" w:cstheme="minorHAnsi"/>
                <w:szCs w:val="20"/>
              </w:rPr>
              <w:t>Dokeniya</w:t>
            </w:r>
            <w:proofErr w:type="spellEnd"/>
          </w:p>
        </w:tc>
      </w:tr>
      <w:tr w:rsidR="00DF3A9C" w:rsidRPr="00DB77BA">
        <w:trPr>
          <w:trHeight w:val="748"/>
        </w:trPr>
        <w:tc>
          <w:tcPr>
            <w:tcW w:w="4608" w:type="dxa"/>
            <w:tcBorders>
              <w:bottom w:val="single" w:sz="4" w:space="0" w:color="auto"/>
            </w:tcBorders>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 xml:space="preserve">The proportion of requests for information provided at a reasonable, pre-defined cost, no higher than X proportion of median income </w:t>
            </w:r>
          </w:p>
        </w:tc>
        <w:tc>
          <w:tcPr>
            <w:tcW w:w="1710" w:type="dxa"/>
            <w:tcBorders>
              <w:bottom w:val="single" w:sz="4" w:space="0" w:color="auto"/>
            </w:tcBorders>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340" w:type="dxa"/>
            <w:tcBorders>
              <w:bottom w:val="single" w:sz="4" w:space="0" w:color="auto"/>
            </w:tcBorders>
          </w:tcPr>
          <w:p w:rsidR="001D602A" w:rsidRPr="00DB77BA" w:rsidRDefault="001D602A" w:rsidP="00A92519">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Global Integrity</w:t>
            </w:r>
          </w:p>
        </w:tc>
      </w:tr>
    </w:tbl>
    <w:p w:rsidR="00C9443C" w:rsidRPr="00DB77BA" w:rsidRDefault="00C9443C" w:rsidP="00177B20">
      <w:pPr>
        <w:spacing w:before="40" w:after="0" w:line="240" w:lineRule="auto"/>
        <w:rPr>
          <w:rFonts w:ascii="Times New Roman" w:hAnsi="Times New Roman" w:cstheme="minorHAnsi"/>
          <w:szCs w:val="20"/>
        </w:rPr>
      </w:pPr>
    </w:p>
    <w:p w:rsidR="00076154" w:rsidRPr="00DB77BA" w:rsidRDefault="00D20F9A" w:rsidP="00177B20">
      <w:pPr>
        <w:spacing w:before="40" w:after="0" w:line="240" w:lineRule="auto"/>
        <w:rPr>
          <w:rFonts w:ascii="Times New Roman" w:hAnsi="Times New Roman" w:cstheme="minorHAnsi"/>
          <w:i/>
          <w:szCs w:val="20"/>
        </w:rPr>
      </w:pPr>
      <w:r w:rsidRPr="00DB77BA">
        <w:rPr>
          <w:rFonts w:ascii="Times New Roman" w:hAnsi="Times New Roman" w:cstheme="minorHAnsi"/>
          <w:szCs w:val="20"/>
        </w:rPr>
        <w:t xml:space="preserve"> </w:t>
      </w:r>
    </w:p>
    <w:tbl>
      <w:tblPr>
        <w:tblStyle w:val="TableGrid"/>
        <w:tblW w:w="8590" w:type="dxa"/>
        <w:tblInd w:w="108" w:type="dxa"/>
        <w:tblLook w:val="00A0" w:firstRow="1" w:lastRow="0" w:firstColumn="1" w:lastColumn="0" w:noHBand="0" w:noVBand="0"/>
      </w:tblPr>
      <w:tblGrid>
        <w:gridCol w:w="2430"/>
        <w:gridCol w:w="6160"/>
      </w:tblGrid>
      <w:tr w:rsidR="00076154" w:rsidRPr="00DB77BA">
        <w:tc>
          <w:tcPr>
            <w:tcW w:w="2430" w:type="dxa"/>
            <w:shd w:val="clear" w:color="auto" w:fill="E36C0A" w:themeFill="accent6" w:themeFillShade="BF"/>
          </w:tcPr>
          <w:p w:rsidR="00076154" w:rsidRPr="00DB77BA" w:rsidRDefault="00076154"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 xml:space="preserve">Criteria </w:t>
            </w:r>
          </w:p>
        </w:tc>
        <w:tc>
          <w:tcPr>
            <w:tcW w:w="6160" w:type="dxa"/>
            <w:shd w:val="clear" w:color="auto" w:fill="E36C0A" w:themeFill="accent6" w:themeFillShade="BF"/>
          </w:tcPr>
          <w:p w:rsidR="00076154" w:rsidRPr="00DB77BA" w:rsidRDefault="00076154"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Evaluation</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Relevance to Theme</w:t>
            </w:r>
          </w:p>
        </w:tc>
        <w:tc>
          <w:tcPr>
            <w:tcW w:w="6160" w:type="dxa"/>
          </w:tcPr>
          <w:p w:rsidR="00C31572" w:rsidRPr="00DB77BA" w:rsidRDefault="00550173" w:rsidP="00F37206">
            <w:pPr>
              <w:keepNext/>
              <w:keepLines/>
              <w:spacing w:before="40"/>
              <w:outlineLvl w:val="1"/>
              <w:rPr>
                <w:rFonts w:ascii="Times New Roman" w:eastAsiaTheme="majorEastAsia" w:hAnsi="Times New Roman" w:cs="Times New Roman"/>
                <w:i/>
                <w:iCs/>
                <w:color w:val="808080" w:themeColor="background1" w:themeShade="80"/>
              </w:rPr>
            </w:pPr>
            <w:r w:rsidRPr="00DB77BA">
              <w:rPr>
                <w:rFonts w:ascii="Times New Roman" w:hAnsi="Times New Roman" w:cs="Times New Roman"/>
              </w:rPr>
              <w:t xml:space="preserve">When there is space for civil society to exercise influence, RTI laws present a significant opportunity for building responsive </w:t>
            </w:r>
            <w:r w:rsidR="007E226D" w:rsidRPr="00DB77BA">
              <w:rPr>
                <w:rFonts w:ascii="Times New Roman" w:hAnsi="Times New Roman" w:cs="Times New Roman"/>
              </w:rPr>
              <w:t>governments</w:t>
            </w:r>
            <w:r w:rsidRPr="00DB77BA">
              <w:rPr>
                <w:rFonts w:ascii="Times New Roman" w:hAnsi="Times New Roman" w:cs="Times New Roman"/>
              </w:rPr>
              <w:t xml:space="preserve">. When citizens are actively engaged and aware of RTI laws, they can </w:t>
            </w:r>
            <w:r w:rsidR="00F37206" w:rsidRPr="00DB77BA">
              <w:rPr>
                <w:rFonts w:ascii="Times New Roman" w:hAnsi="Times New Roman" w:cs="Times New Roman"/>
              </w:rPr>
              <w:t xml:space="preserve">use RTI to uncover corruption and press for </w:t>
            </w:r>
            <w:r w:rsidR="00F37206" w:rsidRPr="00DB77BA">
              <w:rPr>
                <w:rFonts w:ascii="Times New Roman" w:hAnsi="Times New Roman" w:cs="Times New Roman"/>
              </w:rPr>
              <w:lastRenderedPageBreak/>
              <w:t xml:space="preserve">effective delivery of state services. </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lastRenderedPageBreak/>
              <w:t>Data Availability</w:t>
            </w:r>
          </w:p>
        </w:tc>
        <w:tc>
          <w:tcPr>
            <w:tcW w:w="6160" w:type="dxa"/>
          </w:tcPr>
          <w:p w:rsidR="00076154" w:rsidRPr="00DB77BA" w:rsidRDefault="00473AEC" w:rsidP="00F37206">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This data is generally available</w:t>
            </w:r>
            <w:r w:rsidR="00046CD2" w:rsidRPr="00DB77BA">
              <w:rPr>
                <w:rFonts w:ascii="Times New Roman" w:hAnsi="Times New Roman" w:cs="Times New Roman"/>
              </w:rPr>
              <w:t xml:space="preserve"> in administrative records</w:t>
            </w:r>
            <w:r w:rsidR="000E09F2" w:rsidRPr="00DB77BA">
              <w:rPr>
                <w:rFonts w:ascii="Times New Roman" w:hAnsi="Times New Roman" w:cs="Times New Roman"/>
              </w:rPr>
              <w:t xml:space="preserve">, although not all countries reliably measure these statistics. Widely available and comprehensive global transparency and governance indices can </w:t>
            </w:r>
            <w:r w:rsidR="00F37206" w:rsidRPr="00DB77BA">
              <w:rPr>
                <w:rFonts w:ascii="Times New Roman" w:hAnsi="Times New Roman" w:cs="Times New Roman"/>
              </w:rPr>
              <w:t>help make up for</w:t>
            </w:r>
            <w:r w:rsidR="000E09F2" w:rsidRPr="00DB77BA">
              <w:rPr>
                <w:rFonts w:ascii="Times New Roman" w:hAnsi="Times New Roman" w:cs="Times New Roman"/>
              </w:rPr>
              <w:t xml:space="preserve"> gaps in data. </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Robust: Reliable, Valid, Comparable, Verifiable</w:t>
            </w:r>
          </w:p>
        </w:tc>
        <w:tc>
          <w:tcPr>
            <w:tcW w:w="6160" w:type="dxa"/>
          </w:tcPr>
          <w:p w:rsidR="00C31572" w:rsidRPr="00DB77BA" w:rsidRDefault="000E09F2" w:rsidP="00F37206">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As stated above, numerous global transparency and governance indices measure RTI laws (some merely their existence, others their functionality), so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 </w:t>
            </w:r>
            <w:r w:rsidR="00F37206" w:rsidRPr="00DB77BA">
              <w:rPr>
                <w:rFonts w:ascii="Times New Roman" w:hAnsi="Times New Roman" w:cs="Times New Roman"/>
              </w:rPr>
              <w:t>can enhance accuracy</w:t>
            </w:r>
            <w:r w:rsidRPr="00DB77BA">
              <w:rPr>
                <w:rFonts w:ascii="Times New Roman" w:hAnsi="Times New Roman" w:cs="Times New Roman"/>
              </w:rPr>
              <w:t xml:space="preserve">.  The </w:t>
            </w:r>
            <w:r w:rsidR="007E226D" w:rsidRPr="00DB77BA">
              <w:rPr>
                <w:rFonts w:ascii="Times New Roman" w:hAnsi="Times New Roman" w:cs="Times New Roman"/>
              </w:rPr>
              <w:t xml:space="preserve">suggested </w:t>
            </w:r>
            <w:r w:rsidRPr="00DB77BA">
              <w:rPr>
                <w:rFonts w:ascii="Times New Roman" w:hAnsi="Times New Roman" w:cs="Times New Roman"/>
              </w:rPr>
              <w:t>indicators document common</w:t>
            </w:r>
            <w:r w:rsidR="00350DFE" w:rsidRPr="00DB77BA">
              <w:rPr>
                <w:rFonts w:ascii="Times New Roman" w:hAnsi="Times New Roman" w:cs="Times New Roman"/>
              </w:rPr>
              <w:t xml:space="preserve"> </w:t>
            </w:r>
            <w:r w:rsidRPr="00DB77BA">
              <w:rPr>
                <w:rFonts w:ascii="Times New Roman" w:hAnsi="Times New Roman" w:cs="Times New Roman"/>
              </w:rPr>
              <w:t>features of RTI laws and are</w:t>
            </w:r>
            <w:r w:rsidR="00350DFE" w:rsidRPr="00DB77BA">
              <w:rPr>
                <w:rFonts w:ascii="Times New Roman" w:hAnsi="Times New Roman" w:cs="Times New Roman"/>
              </w:rPr>
              <w:t xml:space="preserve"> </w:t>
            </w:r>
            <w:r w:rsidR="008212DD" w:rsidRPr="00DB77BA">
              <w:rPr>
                <w:rFonts w:ascii="Times New Roman" w:hAnsi="Times New Roman" w:cs="Times New Roman"/>
              </w:rPr>
              <w:t>comparable internationally</w:t>
            </w:r>
            <w:r w:rsidR="00F37206" w:rsidRPr="00DB77BA">
              <w:rPr>
                <w:rFonts w:ascii="Times New Roman" w:hAnsi="Times New Roman" w:cs="Times New Roman"/>
              </w:rPr>
              <w:t>.</w:t>
            </w:r>
            <w:r w:rsidR="00350DFE" w:rsidRPr="00DB77BA">
              <w:rPr>
                <w:rFonts w:ascii="Times New Roman" w:hAnsi="Times New Roman" w:cs="Times New Roman"/>
              </w:rPr>
              <w:t xml:space="preserve"> </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Action-Oriented</w:t>
            </w:r>
          </w:p>
        </w:tc>
        <w:tc>
          <w:tcPr>
            <w:tcW w:w="6160" w:type="dxa"/>
          </w:tcPr>
          <w:p w:rsidR="00C31572" w:rsidRPr="00DB77BA" w:rsidRDefault="008212DD" w:rsidP="0060064E">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The </w:t>
            </w:r>
            <w:r w:rsidR="000E09F2" w:rsidRPr="00DB77BA">
              <w:rPr>
                <w:rFonts w:ascii="Times New Roman" w:hAnsi="Times New Roman" w:cs="Times New Roman"/>
              </w:rPr>
              <w:t>target requires</w:t>
            </w:r>
            <w:r w:rsidRPr="00DB77BA">
              <w:rPr>
                <w:rFonts w:ascii="Times New Roman" w:hAnsi="Times New Roman" w:cs="Times New Roman"/>
              </w:rPr>
              <w:t xml:space="preserve"> legislative action and the development of an oversight mechanism</w:t>
            </w:r>
            <w:r w:rsidR="007E226D" w:rsidRPr="00DB77BA">
              <w:rPr>
                <w:rFonts w:ascii="Times New Roman" w:hAnsi="Times New Roman" w:cs="Times New Roman"/>
              </w:rPr>
              <w:t>. It also</w:t>
            </w:r>
            <w:r w:rsidRPr="00DB77BA">
              <w:rPr>
                <w:rFonts w:ascii="Times New Roman" w:hAnsi="Times New Roman" w:cs="Times New Roman"/>
              </w:rPr>
              <w:t xml:space="preserve"> </w:t>
            </w:r>
            <w:r w:rsidR="007E226D" w:rsidRPr="00DB77BA">
              <w:rPr>
                <w:rFonts w:ascii="Times New Roman" w:hAnsi="Times New Roman" w:cs="Times New Roman"/>
              </w:rPr>
              <w:t xml:space="preserve">requires action to meet </w:t>
            </w:r>
            <w:r w:rsidRPr="00DB77BA">
              <w:rPr>
                <w:rFonts w:ascii="Times New Roman" w:hAnsi="Times New Roman" w:cs="Times New Roman"/>
              </w:rPr>
              <w:t xml:space="preserve">quality thresholds </w:t>
            </w:r>
            <w:r w:rsidR="000E09F2" w:rsidRPr="00DB77BA">
              <w:rPr>
                <w:rFonts w:ascii="Times New Roman" w:hAnsi="Times New Roman" w:cs="Times New Roman"/>
              </w:rPr>
              <w:t>for RTI regime</w:t>
            </w:r>
            <w:r w:rsidR="007E226D" w:rsidRPr="00DB77BA">
              <w:rPr>
                <w:rFonts w:ascii="Times New Roman" w:hAnsi="Times New Roman" w:cs="Times New Roman"/>
              </w:rPr>
              <w:t>s</w:t>
            </w:r>
            <w:r w:rsidR="0060064E">
              <w:rPr>
                <w:rFonts w:ascii="Times New Roman" w:hAnsi="Times New Roman" w:cs="Times New Roman"/>
              </w:rPr>
              <w:t xml:space="preserve"> </w:t>
            </w:r>
            <w:r w:rsidR="007E226D" w:rsidRPr="00DB77BA">
              <w:rPr>
                <w:rFonts w:ascii="Times New Roman" w:hAnsi="Times New Roman" w:cs="Times New Roman"/>
              </w:rPr>
              <w:t xml:space="preserve">in the areas of </w:t>
            </w:r>
            <w:r w:rsidRPr="00DB77BA">
              <w:rPr>
                <w:rFonts w:ascii="Times New Roman" w:hAnsi="Times New Roman" w:cs="Times New Roman"/>
              </w:rPr>
              <w:t>affordability</w:t>
            </w:r>
            <w:r w:rsidR="007E226D" w:rsidRPr="00DB77BA">
              <w:rPr>
                <w:rFonts w:ascii="Times New Roman" w:hAnsi="Times New Roman" w:cs="Times New Roman"/>
              </w:rPr>
              <w:t>, awareness, and responsiveness.</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Universally Applicable</w:t>
            </w:r>
          </w:p>
        </w:tc>
        <w:tc>
          <w:tcPr>
            <w:tcW w:w="6160" w:type="dxa"/>
          </w:tcPr>
          <w:p w:rsidR="00C31572" w:rsidRPr="00DB77BA" w:rsidRDefault="008212DD"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In nations without existing RTI laws, this goal </w:t>
            </w:r>
            <w:r w:rsidR="00350DFE" w:rsidRPr="00DB77BA">
              <w:rPr>
                <w:rFonts w:ascii="Times New Roman" w:hAnsi="Times New Roman" w:cs="Times New Roman"/>
              </w:rPr>
              <w:t>has the potential to</w:t>
            </w:r>
            <w:r w:rsidRPr="00DB77BA">
              <w:rPr>
                <w:rFonts w:ascii="Times New Roman" w:hAnsi="Times New Roman" w:cs="Times New Roman"/>
              </w:rPr>
              <w:t xml:space="preserve"> be transformative</w:t>
            </w:r>
            <w:r w:rsidR="007E226D" w:rsidRPr="00DB77BA">
              <w:rPr>
                <w:rFonts w:ascii="Times New Roman" w:hAnsi="Times New Roman" w:cs="Times New Roman"/>
              </w:rPr>
              <w:t>, enhancing</w:t>
            </w:r>
            <w:r w:rsidR="000E09F2" w:rsidRPr="00DB77BA">
              <w:rPr>
                <w:rFonts w:ascii="Times New Roman" w:hAnsi="Times New Roman" w:cs="Times New Roman"/>
              </w:rPr>
              <w:t xml:space="preserve"> transparency and opening up space for accountability efforts</w:t>
            </w:r>
            <w:r w:rsidR="00350DFE" w:rsidRPr="00DB77BA">
              <w:rPr>
                <w:rFonts w:ascii="Times New Roman" w:hAnsi="Times New Roman" w:cs="Times New Roman"/>
              </w:rPr>
              <w:t>. In countries with RTI laws, these indicators provide universal benchmarks for effective implementation and sustainability of the law.</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Equality-Sensitivity</w:t>
            </w:r>
          </w:p>
        </w:tc>
        <w:tc>
          <w:tcPr>
            <w:tcW w:w="6160" w:type="dxa"/>
          </w:tcPr>
          <w:p w:rsidR="00076154" w:rsidRPr="00DB77BA" w:rsidRDefault="00350DFE" w:rsidP="0060064E">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This </w:t>
            </w:r>
            <w:r w:rsidR="0060064E">
              <w:rPr>
                <w:rFonts w:ascii="Times New Roman" w:hAnsi="Times New Roman" w:cs="Times New Roman"/>
              </w:rPr>
              <w:t>target</w:t>
            </w:r>
            <w:r w:rsidRPr="00DB77BA">
              <w:rPr>
                <w:rFonts w:ascii="Times New Roman" w:hAnsi="Times New Roman" w:cs="Times New Roman"/>
              </w:rPr>
              <w:t xml:space="preserve"> seeks to empower all citizens globally with the right and ability to</w:t>
            </w:r>
            <w:r w:rsidR="004D25C5" w:rsidRPr="00DB77BA">
              <w:rPr>
                <w:rFonts w:ascii="Times New Roman" w:hAnsi="Times New Roman" w:cs="Times New Roman"/>
              </w:rPr>
              <w:t xml:space="preserve"> access</w:t>
            </w:r>
            <w:r w:rsidRPr="00DB77BA">
              <w:rPr>
                <w:rFonts w:ascii="Times New Roman" w:hAnsi="Times New Roman" w:cs="Times New Roman"/>
              </w:rPr>
              <w:t xml:space="preserve"> </w:t>
            </w:r>
            <w:r w:rsidR="004D25C5" w:rsidRPr="00DB77BA">
              <w:rPr>
                <w:rFonts w:ascii="Times New Roman" w:hAnsi="Times New Roman" w:cs="Times New Roman"/>
              </w:rPr>
              <w:t>state</w:t>
            </w:r>
            <w:r w:rsidRPr="00DB77BA">
              <w:rPr>
                <w:rFonts w:ascii="Times New Roman" w:hAnsi="Times New Roman" w:cs="Times New Roman"/>
              </w:rPr>
              <w:t xml:space="preserve"> information. If implemented effectively, it </w:t>
            </w:r>
            <w:r w:rsidR="000E09F2" w:rsidRPr="00DB77BA">
              <w:rPr>
                <w:rFonts w:ascii="Times New Roman" w:hAnsi="Times New Roman" w:cs="Times New Roman"/>
              </w:rPr>
              <w:t>empowers people</w:t>
            </w:r>
            <w:r w:rsidRPr="00DB77BA">
              <w:rPr>
                <w:rFonts w:ascii="Times New Roman" w:hAnsi="Times New Roman" w:cs="Times New Roman"/>
              </w:rPr>
              <w:t xml:space="preserve"> to </w:t>
            </w:r>
            <w:r w:rsidR="004D25C5" w:rsidRPr="00DB77BA">
              <w:rPr>
                <w:rFonts w:ascii="Times New Roman" w:hAnsi="Times New Roman" w:cs="Times New Roman"/>
              </w:rPr>
              <w:t xml:space="preserve">monitor </w:t>
            </w:r>
            <w:r w:rsidRPr="00DB77BA">
              <w:rPr>
                <w:rFonts w:ascii="Times New Roman" w:hAnsi="Times New Roman" w:cs="Times New Roman"/>
              </w:rPr>
              <w:t xml:space="preserve">the actions of </w:t>
            </w:r>
            <w:r w:rsidR="004D25C5" w:rsidRPr="00DB77BA">
              <w:rPr>
                <w:rFonts w:ascii="Times New Roman" w:hAnsi="Times New Roman" w:cs="Times New Roman"/>
              </w:rPr>
              <w:t>those who make decisions affecting their lives</w:t>
            </w:r>
            <w:r w:rsidRPr="00DB77BA">
              <w:rPr>
                <w:rFonts w:ascii="Times New Roman" w:hAnsi="Times New Roman" w:cs="Times New Roman"/>
              </w:rPr>
              <w:t xml:space="preserve">. </w:t>
            </w:r>
          </w:p>
        </w:tc>
      </w:tr>
      <w:tr w:rsidR="00076154" w:rsidRPr="00DB77BA">
        <w:tc>
          <w:tcPr>
            <w:tcW w:w="2430" w:type="dxa"/>
          </w:tcPr>
          <w:p w:rsidR="00076154" w:rsidRPr="00DB77BA" w:rsidRDefault="0007615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Absence of Perverse Incentives</w:t>
            </w:r>
          </w:p>
        </w:tc>
        <w:tc>
          <w:tcPr>
            <w:tcW w:w="6160" w:type="dxa"/>
          </w:tcPr>
          <w:p w:rsidR="00076154" w:rsidRPr="00DB77BA" w:rsidRDefault="00282C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Few perverse incentives exist, although the release of sensitive security information</w:t>
            </w:r>
            <w:r w:rsidR="000E09F2" w:rsidRPr="00DB77BA">
              <w:rPr>
                <w:rFonts w:ascii="Times New Roman" w:hAnsi="Times New Roman" w:cs="Times New Roman"/>
              </w:rPr>
              <w:t xml:space="preserve"> may jeopardize the safety of some individuals or groups.</w:t>
            </w:r>
          </w:p>
        </w:tc>
      </w:tr>
    </w:tbl>
    <w:p w:rsidR="00ED61CF" w:rsidRPr="00DB77BA" w:rsidRDefault="00ED61CF" w:rsidP="00177B20">
      <w:pPr>
        <w:spacing w:before="40" w:after="0" w:line="240" w:lineRule="auto"/>
        <w:rPr>
          <w:rFonts w:ascii="Times New Roman" w:hAnsi="Times New Roman" w:cstheme="minorHAnsi"/>
          <w:i/>
          <w:szCs w:val="20"/>
        </w:rPr>
      </w:pPr>
    </w:p>
    <w:p w:rsidR="00046CD2" w:rsidRPr="00DB77BA" w:rsidRDefault="00046CD2" w:rsidP="00177B20">
      <w:pPr>
        <w:spacing w:before="40" w:line="240" w:lineRule="auto"/>
        <w:rPr>
          <w:rFonts w:ascii="Times New Roman" w:hAnsi="Times New Roman" w:cs="Times New Roman"/>
        </w:rPr>
      </w:pPr>
    </w:p>
    <w:p w:rsidR="001A1B44" w:rsidRPr="00DB77BA" w:rsidRDefault="001A1B44" w:rsidP="00A27F30">
      <w:pPr>
        <w:spacing w:before="40" w:after="0" w:line="240" w:lineRule="auto"/>
        <w:rPr>
          <w:rFonts w:ascii="Times New Roman" w:hAnsi="Times New Roman" w:cs="Times New Roman"/>
          <w:b/>
          <w:i/>
        </w:rPr>
      </w:pPr>
      <w:r w:rsidRPr="00DB77BA">
        <w:rPr>
          <w:rFonts w:ascii="Times New Roman" w:hAnsi="Times New Roman" w:cs="Times New Roman"/>
          <w:b/>
          <w:i/>
        </w:rPr>
        <w:br w:type="page"/>
      </w:r>
    </w:p>
    <w:p w:rsidR="001A1B44" w:rsidRDefault="001A1B44" w:rsidP="00177B20">
      <w:pPr>
        <w:spacing w:before="40" w:after="0" w:line="240" w:lineRule="auto"/>
        <w:rPr>
          <w:rFonts w:ascii="Times New Roman" w:hAnsi="Times New Roman" w:cs="Times New Roman"/>
          <w:b/>
          <w:i/>
          <w:sz w:val="24"/>
        </w:rPr>
      </w:pPr>
      <w:r w:rsidRPr="00DB77BA">
        <w:rPr>
          <w:rFonts w:ascii="Times New Roman" w:hAnsi="Times New Roman" w:cs="Times New Roman"/>
          <w:b/>
          <w:i/>
          <w:sz w:val="24"/>
        </w:rPr>
        <w:lastRenderedPageBreak/>
        <w:t>Land Tenure and Natural Resource Rights</w:t>
      </w:r>
    </w:p>
    <w:p w:rsidR="0080333A" w:rsidRDefault="0080333A" w:rsidP="00177B20">
      <w:pPr>
        <w:spacing w:before="40" w:after="0" w:line="240" w:lineRule="auto"/>
        <w:rPr>
          <w:rFonts w:ascii="Times New Roman" w:hAnsi="Times New Roman" w:cs="Times New Roman"/>
          <w:b/>
          <w:i/>
          <w:sz w:val="24"/>
        </w:rPr>
      </w:pPr>
    </w:p>
    <w:p w:rsidR="00507907" w:rsidRPr="0080333A" w:rsidRDefault="0080333A" w:rsidP="00177B20">
      <w:pPr>
        <w:spacing w:before="40" w:after="0" w:line="240" w:lineRule="auto"/>
        <w:rPr>
          <w:rFonts w:ascii="Times New Roman" w:hAnsi="Times New Roman" w:cs="Times New Roman"/>
        </w:rPr>
      </w:pPr>
      <w:r w:rsidRPr="0080333A">
        <w:rPr>
          <w:rFonts w:ascii="Times New Roman" w:hAnsi="Times New Roman" w:cs="Times New Roman"/>
        </w:rPr>
        <w:t xml:space="preserve">Target </w:t>
      </w:r>
      <w:r w:rsidR="00507907" w:rsidRPr="0080333A">
        <w:rPr>
          <w:rFonts w:ascii="Times New Roman" w:hAnsi="Times New Roman" w:cs="Times New Roman"/>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80333A" w:rsidRDefault="0080333A" w:rsidP="00177B20">
      <w:pPr>
        <w:spacing w:before="40" w:after="0" w:line="240" w:lineRule="auto"/>
        <w:rPr>
          <w:rFonts w:ascii="Times New Roman" w:hAnsi="Times New Roman" w:cs="Times New Roman"/>
        </w:rPr>
      </w:pPr>
    </w:p>
    <w:p w:rsidR="0080333A" w:rsidRPr="00DB77BA" w:rsidRDefault="0080333A" w:rsidP="00177B20">
      <w:pPr>
        <w:spacing w:before="40" w:after="0" w:line="240" w:lineRule="auto"/>
        <w:rPr>
          <w:rFonts w:ascii="Times New Roman" w:hAnsi="Times New Roman" w:cs="Times New Roman"/>
        </w:rPr>
      </w:pPr>
      <w:r>
        <w:rPr>
          <w:rFonts w:ascii="Times New Roman" w:hAnsi="Times New Roman" w:cs="Times New Roman"/>
        </w:rPr>
        <w:t xml:space="preserve">Target </w:t>
      </w:r>
      <w:r w:rsidRPr="0080333A">
        <w:rPr>
          <w:rFonts w:ascii="Times New Roman" w:hAnsi="Times New Roman" w:cs="Times New Roman"/>
        </w:rPr>
        <w:t>5.a Undertake reforms to give women equal rights to economic resources, as well as access to ownership and control over land and other forms of property, financial services, inheritance and natural resources, in accordance with national laws</w:t>
      </w:r>
    </w:p>
    <w:p w:rsidR="001A1B44" w:rsidRPr="0080333A" w:rsidRDefault="001A1B44" w:rsidP="00177B20">
      <w:pPr>
        <w:spacing w:before="40" w:after="0" w:line="240" w:lineRule="auto"/>
        <w:rPr>
          <w:rFonts w:ascii="Times New Roman" w:hAnsi="Times New Roman" w:cs="Times New Roman"/>
        </w:rPr>
      </w:pPr>
    </w:p>
    <w:p w:rsidR="0080333A" w:rsidRPr="0080333A" w:rsidRDefault="0080333A" w:rsidP="0080333A">
      <w:pPr>
        <w:spacing w:before="40" w:after="0" w:line="240" w:lineRule="auto"/>
        <w:rPr>
          <w:rFonts w:ascii="Times New Roman" w:hAnsi="Times New Roman" w:cs="Times New Roman"/>
        </w:rPr>
      </w:pPr>
      <w:r w:rsidRPr="0080333A">
        <w:rPr>
          <w:rFonts w:ascii="Times New Roman" w:hAnsi="Times New Roman" w:cs="Times New Roman"/>
        </w:rPr>
        <w:t xml:space="preserve">12.2 By 2030, achieve the sustainable management and efficient use of natural resources </w:t>
      </w:r>
    </w:p>
    <w:p w:rsidR="0080333A" w:rsidRPr="0080333A" w:rsidRDefault="0080333A" w:rsidP="00177B20">
      <w:pPr>
        <w:spacing w:before="40" w:after="0" w:line="240" w:lineRule="auto"/>
        <w:rPr>
          <w:rFonts w:ascii="Times New Roman" w:hAnsi="Times New Roman" w:cs="Times New Roman"/>
        </w:rPr>
      </w:pPr>
    </w:p>
    <w:p w:rsidR="0080333A" w:rsidRPr="0080333A" w:rsidRDefault="0080333A" w:rsidP="00177B20">
      <w:pPr>
        <w:spacing w:before="40" w:after="0" w:line="240" w:lineRule="auto"/>
        <w:rPr>
          <w:rFonts w:ascii="Times New Roman" w:hAnsi="Times New Roman" w:cs="Times New Roman"/>
        </w:rPr>
      </w:pPr>
      <w:r w:rsidRPr="0080333A">
        <w:rPr>
          <w:rFonts w:ascii="Times New Roman" w:hAnsi="Times New Roman" w:cs="Times New Roman"/>
        </w:rPr>
        <w:t>12.8 By 2030, ensure that people everywhere have the relevant information and awareness for sustainable development and lifestyles in harmony with nature</w:t>
      </w:r>
    </w:p>
    <w:tbl>
      <w:tblPr>
        <w:tblStyle w:val="TableGrid"/>
        <w:tblpPr w:leftFromText="180" w:rightFromText="180" w:vertAnchor="text" w:horzAnchor="page" w:tblpX="1549" w:tblpY="273"/>
        <w:tblW w:w="8568" w:type="dxa"/>
        <w:tblLook w:val="00A0" w:firstRow="1" w:lastRow="0" w:firstColumn="1" w:lastColumn="0" w:noHBand="0" w:noVBand="0"/>
      </w:tblPr>
      <w:tblGrid>
        <w:gridCol w:w="4428"/>
        <w:gridCol w:w="1890"/>
        <w:gridCol w:w="2250"/>
      </w:tblGrid>
      <w:tr w:rsidR="001A1B44" w:rsidRPr="00DB77BA">
        <w:tc>
          <w:tcPr>
            <w:tcW w:w="8568" w:type="dxa"/>
            <w:gridSpan w:val="3"/>
            <w:tcBorders>
              <w:bottom w:val="single" w:sz="4" w:space="0" w:color="auto"/>
            </w:tcBorders>
            <w:shd w:val="clear" w:color="auto" w:fill="A9CB7D"/>
          </w:tcPr>
          <w:p w:rsidR="00D16C2B" w:rsidRPr="00DB77BA" w:rsidRDefault="00D16C2B" w:rsidP="00C31572">
            <w:pPr>
              <w:spacing w:before="40"/>
              <w:jc w:val="center"/>
              <w:rPr>
                <w:rFonts w:ascii="Times New Roman" w:hAnsi="Times New Roman" w:cs="Times New Roman"/>
                <w:color w:val="31849B" w:themeColor="accent5" w:themeShade="BF"/>
                <w:sz w:val="24"/>
              </w:rPr>
            </w:pPr>
          </w:p>
          <w:p w:rsidR="001A1B44" w:rsidRPr="00DB77BA" w:rsidRDefault="00D16C2B" w:rsidP="0046623F">
            <w:pPr>
              <w:spacing w:before="40"/>
              <w:rPr>
                <w:rFonts w:ascii="Times New Roman" w:hAnsi="Times New Roman" w:cs="Times New Roman"/>
                <w:sz w:val="24"/>
              </w:rPr>
            </w:pPr>
            <w:bookmarkStart w:id="0" w:name="_GoBack"/>
            <w:bookmarkEnd w:id="0"/>
            <w:r w:rsidRPr="00DB77BA">
              <w:rPr>
                <w:rFonts w:ascii="Times New Roman" w:hAnsi="Times New Roman" w:cs="Times New Roman"/>
                <w:sz w:val="24"/>
              </w:rPr>
              <w:t xml:space="preserve"> </w:t>
            </w:r>
            <w:r w:rsidR="0003773A" w:rsidRPr="00DB77BA">
              <w:rPr>
                <w:rFonts w:ascii="Times New Roman" w:hAnsi="Times New Roman" w:cs="Times New Roman"/>
                <w:b/>
                <w:sz w:val="24"/>
              </w:rPr>
              <w:t>Increase</w:t>
            </w:r>
            <w:r w:rsidR="001A1B44" w:rsidRPr="00DB77BA">
              <w:rPr>
                <w:rFonts w:ascii="Times New Roman" w:hAnsi="Times New Roman" w:cs="Times New Roman"/>
                <w:b/>
                <w:sz w:val="24"/>
              </w:rPr>
              <w:t xml:space="preserve"> the </w:t>
            </w:r>
            <w:r w:rsidR="001A1B44" w:rsidRPr="00DB77BA">
              <w:rPr>
                <w:rFonts w:ascii="Times New Roman" w:eastAsia="Times New Roman" w:hAnsi="Times New Roman" w:cstheme="minorHAnsi"/>
                <w:b/>
                <w:bCs/>
                <w:sz w:val="24"/>
                <w:szCs w:val="20"/>
                <w:lang w:eastAsia="zh-CN"/>
              </w:rPr>
              <w:t xml:space="preserve">amount of land for which </w:t>
            </w:r>
            <w:r w:rsidR="00083D32" w:rsidRPr="00DB77BA">
              <w:rPr>
                <w:rFonts w:ascii="Times New Roman" w:eastAsia="Times New Roman" w:hAnsi="Times New Roman" w:cstheme="minorHAnsi"/>
                <w:b/>
                <w:bCs/>
                <w:sz w:val="24"/>
                <w:szCs w:val="20"/>
                <w:lang w:eastAsia="zh-CN"/>
              </w:rPr>
              <w:t>1) communities have secure land tenure and 2) decisions about land and natural resource use are taken through a process of local democratic governance.</w:t>
            </w:r>
            <w:r w:rsidR="00083D32" w:rsidRPr="00DB77BA">
              <w:rPr>
                <w:rFonts w:ascii="Times New Roman" w:hAnsi="Times New Roman" w:cs="Times New Roman"/>
                <w:b/>
                <w:sz w:val="24"/>
                <w:shd w:val="clear" w:color="auto" w:fill="215868" w:themeFill="accent5" w:themeFillShade="80"/>
              </w:rPr>
              <w:t xml:space="preserve"> </w:t>
            </w:r>
            <w:r w:rsidR="001A1B44" w:rsidRPr="00DB77BA">
              <w:rPr>
                <w:rFonts w:ascii="Times New Roman" w:hAnsi="Times New Roman" w:cs="Times New Roman"/>
                <w:b/>
                <w:sz w:val="24"/>
                <w:shd w:val="clear" w:color="auto" w:fill="215868" w:themeFill="accent5" w:themeFillShade="80"/>
              </w:rPr>
              <w:br/>
            </w:r>
          </w:p>
        </w:tc>
      </w:tr>
      <w:tr w:rsidR="001A1B44" w:rsidRPr="00DB77BA">
        <w:trPr>
          <w:trHeight w:val="240"/>
        </w:trPr>
        <w:tc>
          <w:tcPr>
            <w:tcW w:w="4428" w:type="dxa"/>
            <w:shd w:val="clear" w:color="auto" w:fill="EAF1DD" w:themeFill="accent3" w:themeFillTint="33"/>
          </w:tcPr>
          <w:p w:rsidR="001A1B44" w:rsidRPr="00DB77BA" w:rsidRDefault="001A1B44" w:rsidP="00177B20">
            <w:pPr>
              <w:spacing w:before="40"/>
              <w:jc w:val="center"/>
              <w:rPr>
                <w:rFonts w:ascii="Times New Roman" w:hAnsi="Times New Roman" w:cs="Times New Roman"/>
                <w:color w:val="4F6228" w:themeColor="accent3" w:themeShade="80"/>
              </w:rPr>
            </w:pPr>
            <w:r w:rsidRPr="00DB77BA">
              <w:rPr>
                <w:rFonts w:ascii="Times New Roman" w:hAnsi="Times New Roman" w:cs="Times New Roman"/>
                <w:b/>
                <w:color w:val="4F6228" w:themeColor="accent3" w:themeShade="80"/>
              </w:rPr>
              <w:t>Possible Indicators</w:t>
            </w:r>
          </w:p>
        </w:tc>
        <w:tc>
          <w:tcPr>
            <w:tcW w:w="1890" w:type="dxa"/>
            <w:shd w:val="clear" w:color="auto" w:fill="EAF1DD" w:themeFill="accent3" w:themeFillTint="33"/>
          </w:tcPr>
          <w:p w:rsidR="001A1B44" w:rsidRPr="00DB77BA" w:rsidRDefault="001A1B44" w:rsidP="00177B20">
            <w:pPr>
              <w:spacing w:before="40"/>
              <w:jc w:val="center"/>
              <w:rPr>
                <w:rFonts w:ascii="Times New Roman" w:hAnsi="Times New Roman" w:cs="Times New Roman"/>
                <w:color w:val="4F6228" w:themeColor="accent3" w:themeShade="80"/>
              </w:rPr>
            </w:pPr>
            <w:r w:rsidRPr="00DB77BA">
              <w:rPr>
                <w:rFonts w:ascii="Times New Roman" w:hAnsi="Times New Roman" w:cs="Times New Roman"/>
                <w:b/>
                <w:color w:val="4F6228" w:themeColor="accent3" w:themeShade="80"/>
              </w:rPr>
              <w:t>Data Collection Method</w:t>
            </w:r>
          </w:p>
        </w:tc>
        <w:tc>
          <w:tcPr>
            <w:tcW w:w="2250" w:type="dxa"/>
            <w:shd w:val="clear" w:color="auto" w:fill="EAF1DD" w:themeFill="accent3" w:themeFillTint="33"/>
          </w:tcPr>
          <w:p w:rsidR="001A1B44" w:rsidRPr="00DB77BA" w:rsidRDefault="001A1B44" w:rsidP="00177B20">
            <w:pPr>
              <w:spacing w:before="40"/>
              <w:jc w:val="center"/>
              <w:rPr>
                <w:rFonts w:ascii="Times New Roman" w:hAnsi="Times New Roman" w:cs="Times New Roman"/>
                <w:color w:val="4F6228" w:themeColor="accent3" w:themeShade="80"/>
              </w:rPr>
            </w:pPr>
            <w:r w:rsidRPr="00DB77BA">
              <w:rPr>
                <w:rFonts w:ascii="Times New Roman" w:hAnsi="Times New Roman" w:cs="Times New Roman"/>
                <w:b/>
                <w:color w:val="4F6228" w:themeColor="accent3" w:themeShade="80"/>
              </w:rPr>
              <w:t xml:space="preserve">Similar proposals </w:t>
            </w:r>
          </w:p>
        </w:tc>
      </w:tr>
      <w:tr w:rsidR="001D602A" w:rsidRPr="00DB77BA">
        <w:tc>
          <w:tcPr>
            <w:tcW w:w="4428" w:type="dxa"/>
          </w:tcPr>
          <w:p w:rsidR="001A1B44" w:rsidRPr="00DB77BA" w:rsidRDefault="001A1B44" w:rsidP="00177B20">
            <w:pPr>
              <w:spacing w:before="40"/>
              <w:rPr>
                <w:rFonts w:ascii="Times New Roman" w:eastAsia="Times New Roman" w:hAnsi="Times New Roman" w:cstheme="minorHAnsi"/>
                <w:bCs/>
                <w:i/>
                <w:iCs/>
                <w:color w:val="000000"/>
                <w:lang w:eastAsia="zh-CN"/>
              </w:rPr>
            </w:pPr>
            <w:r w:rsidRPr="00DB77BA">
              <w:rPr>
                <w:rFonts w:ascii="Times New Roman" w:eastAsia="Times New Roman" w:hAnsi="Times New Roman" w:cstheme="minorHAnsi"/>
                <w:bCs/>
                <w:color w:val="000000"/>
                <w:szCs w:val="20"/>
                <w:lang w:eastAsia="zh-CN"/>
              </w:rPr>
              <w:t>The number of countries that legally recognize customary land tenure and/or community land and resource rights</w:t>
            </w:r>
          </w:p>
        </w:tc>
        <w:tc>
          <w:tcPr>
            <w:tcW w:w="1890" w:type="dxa"/>
          </w:tcPr>
          <w:p w:rsidR="001A1B44" w:rsidRPr="00DB77BA" w:rsidRDefault="001A1B4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heme="minorHAnsi"/>
                <w:szCs w:val="20"/>
              </w:rPr>
              <w:t>Legal analysis</w:t>
            </w:r>
          </w:p>
        </w:tc>
        <w:tc>
          <w:tcPr>
            <w:tcW w:w="2250" w:type="dxa"/>
          </w:tcPr>
          <w:p w:rsidR="001D602A" w:rsidRPr="00DB77BA" w:rsidRDefault="001A1B44" w:rsidP="006C5ECC">
            <w:pPr>
              <w:spacing w:before="40"/>
              <w:rPr>
                <w:rFonts w:ascii="Times New Roman" w:eastAsiaTheme="majorEastAsia" w:hAnsi="Times New Roman" w:cs="Times New Roman"/>
                <w:i/>
                <w:iCs/>
                <w:color w:val="404040" w:themeColor="text1" w:themeTint="BF"/>
              </w:rPr>
            </w:pPr>
            <w:r w:rsidRPr="00DB77BA">
              <w:rPr>
                <w:rFonts w:ascii="Times New Roman" w:hAnsi="Times New Roman" w:cstheme="minorHAnsi"/>
                <w:szCs w:val="20"/>
              </w:rPr>
              <w:t>USAID</w:t>
            </w:r>
            <w:r w:rsidR="001D602A">
              <w:rPr>
                <w:rFonts w:ascii="Times New Roman" w:hAnsi="Times New Roman" w:cstheme="minorHAnsi"/>
                <w:szCs w:val="20"/>
              </w:rPr>
              <w:t>, Alden Wily</w:t>
            </w:r>
            <w:r w:rsidR="00A27F30">
              <w:rPr>
                <w:rFonts w:ascii="Times New Roman" w:hAnsi="Times New Roman" w:cstheme="minorHAnsi"/>
                <w:szCs w:val="20"/>
              </w:rPr>
              <w:t xml:space="preserve"> (Rights and Resources </w:t>
            </w:r>
            <w:r w:rsidR="006C5ECC">
              <w:rPr>
                <w:rFonts w:ascii="Times New Roman" w:hAnsi="Times New Roman" w:cstheme="minorHAnsi"/>
                <w:szCs w:val="20"/>
              </w:rPr>
              <w:t>Initiative</w:t>
            </w:r>
            <w:r w:rsidR="00A27F30">
              <w:rPr>
                <w:rFonts w:ascii="Times New Roman" w:hAnsi="Times New Roman" w:cstheme="minorHAnsi"/>
                <w:szCs w:val="20"/>
              </w:rPr>
              <w:t>)</w:t>
            </w:r>
          </w:p>
        </w:tc>
      </w:tr>
      <w:tr w:rsidR="001D602A" w:rsidRPr="00DB77BA">
        <w:trPr>
          <w:trHeight w:val="160"/>
        </w:trPr>
        <w:tc>
          <w:tcPr>
            <w:tcW w:w="4428" w:type="dxa"/>
          </w:tcPr>
          <w:p w:rsidR="001D602A" w:rsidRPr="00DB77BA" w:rsidDel="00442432" w:rsidRDefault="001D602A" w:rsidP="00C83FD6">
            <w:pPr>
              <w:spacing w:before="40"/>
              <w:rPr>
                <w:rFonts w:ascii="Times New Roman" w:eastAsia="Times New Roman" w:hAnsi="Times New Roman" w:cstheme="minorHAnsi"/>
                <w:bCs/>
                <w:i/>
                <w:iCs/>
                <w:color w:val="000000"/>
                <w:szCs w:val="20"/>
                <w:lang w:eastAsia="zh-CN"/>
              </w:rPr>
            </w:pPr>
            <w:r w:rsidRPr="00DB77BA">
              <w:rPr>
                <w:rFonts w:ascii="Times New Roman" w:eastAsia="Times New Roman" w:hAnsi="Times New Roman" w:cstheme="minorHAnsi"/>
                <w:bCs/>
                <w:color w:val="000000"/>
                <w:szCs w:val="20"/>
                <w:lang w:eastAsia="zh-CN"/>
              </w:rPr>
              <w:t xml:space="preserve">Amount of land (ha) for which a) local communities possess </w:t>
            </w:r>
            <w:r w:rsidR="00C83FD6">
              <w:rPr>
                <w:rFonts w:ascii="Times New Roman" w:eastAsia="Times New Roman" w:hAnsi="Times New Roman" w:cstheme="minorHAnsi"/>
                <w:bCs/>
                <w:color w:val="000000"/>
                <w:szCs w:val="20"/>
                <w:lang w:eastAsia="zh-CN"/>
              </w:rPr>
              <w:t xml:space="preserve">rights to own, use, and </w:t>
            </w:r>
            <w:r w:rsidRPr="00DB77BA">
              <w:rPr>
                <w:rFonts w:ascii="Times New Roman" w:eastAsia="Times New Roman" w:hAnsi="Times New Roman" w:cstheme="minorHAnsi"/>
                <w:bCs/>
                <w:color w:val="000000"/>
                <w:szCs w:val="20"/>
                <w:lang w:eastAsia="zh-CN"/>
              </w:rPr>
              <w:t>conserve, and b)</w:t>
            </w:r>
            <w:r w:rsidRPr="00DB77BA">
              <w:rPr>
                <w:rFonts w:ascii="Times New Roman" w:hAnsi="Times New Roman" w:cs="Times New Roman"/>
              </w:rPr>
              <w:t xml:space="preserve"> decisions about land and natural resource use are taken through a process of local democratic governance</w:t>
            </w:r>
          </w:p>
        </w:tc>
        <w:tc>
          <w:tcPr>
            <w:tcW w:w="1890" w:type="dxa"/>
          </w:tcPr>
          <w:p w:rsidR="001D602A" w:rsidRPr="00DB77BA" w:rsidRDefault="001D602A" w:rsidP="00177B20">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 xml:space="preserve">Administrative data, </w:t>
            </w:r>
            <w:r w:rsidRPr="00DB77BA">
              <w:rPr>
                <w:rFonts w:ascii="Times New Roman" w:hAnsi="Times New Roman" w:cs="Times New Roman"/>
              </w:rPr>
              <w:t>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250" w:type="dxa"/>
          </w:tcPr>
          <w:p w:rsidR="00A27F30" w:rsidRDefault="001D602A" w:rsidP="0056599B">
            <w:pPr>
              <w:spacing w:before="40"/>
              <w:rPr>
                <w:rFonts w:ascii="Times New Roman" w:hAnsi="Times New Roman" w:cstheme="minorHAnsi"/>
                <w:szCs w:val="20"/>
              </w:rPr>
            </w:pPr>
            <w:r>
              <w:rPr>
                <w:rFonts w:ascii="Times New Roman" w:hAnsi="Times New Roman"/>
              </w:rPr>
              <w:t xml:space="preserve">a) </w:t>
            </w:r>
            <w:r w:rsidRPr="00DB77BA">
              <w:rPr>
                <w:rFonts w:ascii="Times New Roman" w:hAnsi="Times New Roman"/>
              </w:rPr>
              <w:t xml:space="preserve">FAO, </w:t>
            </w:r>
            <w:proofErr w:type="spellStart"/>
            <w:r w:rsidRPr="00DB77BA">
              <w:rPr>
                <w:rFonts w:ascii="Times New Roman" w:hAnsi="Times New Roman"/>
              </w:rPr>
              <w:t>Ubiñas</w:t>
            </w:r>
            <w:proofErr w:type="spellEnd"/>
            <w:r w:rsidR="00A27F30">
              <w:rPr>
                <w:rFonts w:ascii="Times New Roman" w:hAnsi="Times New Roman"/>
              </w:rPr>
              <w:t xml:space="preserve"> (Ford Foundation)</w:t>
            </w:r>
          </w:p>
          <w:p w:rsidR="001D602A" w:rsidRPr="00DB77BA" w:rsidRDefault="001D602A" w:rsidP="0056599B">
            <w:pPr>
              <w:spacing w:before="40"/>
              <w:rPr>
                <w:rFonts w:ascii="Times New Roman" w:eastAsiaTheme="majorEastAsia" w:hAnsi="Times New Roman" w:cstheme="minorHAnsi"/>
                <w:i/>
                <w:iCs/>
                <w:color w:val="404040" w:themeColor="text1" w:themeTint="BF"/>
                <w:szCs w:val="20"/>
              </w:rPr>
            </w:pPr>
            <w:r>
              <w:rPr>
                <w:rFonts w:ascii="Times New Roman" w:hAnsi="Times New Roman" w:cstheme="minorHAnsi"/>
                <w:szCs w:val="20"/>
              </w:rPr>
              <w:t>b) Knight et al</w:t>
            </w:r>
            <w:r w:rsidR="00A27F30">
              <w:rPr>
                <w:rFonts w:ascii="Times New Roman" w:hAnsi="Times New Roman" w:cstheme="minorHAnsi"/>
                <w:szCs w:val="20"/>
              </w:rPr>
              <w:t xml:space="preserve">., </w:t>
            </w:r>
            <w:proofErr w:type="spellStart"/>
            <w:r w:rsidR="001A1B44" w:rsidRPr="00DB77BA">
              <w:rPr>
                <w:rFonts w:ascii="Times New Roman" w:hAnsi="Times New Roman" w:cstheme="minorHAnsi"/>
                <w:szCs w:val="20"/>
              </w:rPr>
              <w:t>Deininger</w:t>
            </w:r>
            <w:proofErr w:type="spellEnd"/>
            <w:r w:rsidR="00F72840" w:rsidRPr="00DB77BA">
              <w:rPr>
                <w:rFonts w:ascii="Times New Roman" w:hAnsi="Times New Roman" w:cstheme="minorHAnsi"/>
                <w:szCs w:val="20"/>
              </w:rPr>
              <w:t xml:space="preserve"> et al</w:t>
            </w:r>
            <w:r w:rsidR="00A27F30">
              <w:rPr>
                <w:rFonts w:ascii="Times New Roman" w:hAnsi="Times New Roman" w:cstheme="minorHAnsi"/>
                <w:szCs w:val="20"/>
              </w:rPr>
              <w:t>.</w:t>
            </w:r>
          </w:p>
        </w:tc>
      </w:tr>
      <w:tr w:rsidR="001D602A" w:rsidRPr="00DB77BA">
        <w:tc>
          <w:tcPr>
            <w:tcW w:w="4428"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Confidence in tenure security: The proportion of households who believe </w:t>
            </w:r>
            <w:r w:rsidR="001A7909">
              <w:rPr>
                <w:rFonts w:ascii="Times New Roman" w:hAnsi="Times New Roman" w:cs="Times New Roman"/>
              </w:rPr>
              <w:t xml:space="preserve">that household and </w:t>
            </w:r>
            <w:r w:rsidRPr="00DB77BA">
              <w:rPr>
                <w:rFonts w:ascii="Times New Roman" w:hAnsi="Times New Roman" w:cs="Times New Roman"/>
              </w:rPr>
              <w:t>community land will not be confiscated or wrongfully acquired</w:t>
            </w:r>
          </w:p>
        </w:tc>
        <w:tc>
          <w:tcPr>
            <w:tcW w:w="189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Public surveys</w:t>
            </w:r>
          </w:p>
        </w:tc>
        <w:tc>
          <w:tcPr>
            <w:tcW w:w="2250" w:type="dxa"/>
          </w:tcPr>
          <w:p w:rsidR="001D602A" w:rsidRPr="00DB77BA" w:rsidRDefault="001D602A" w:rsidP="00A92519">
            <w:pPr>
              <w:spacing w:before="40"/>
              <w:rPr>
                <w:rFonts w:ascii="Times New Roman" w:eastAsiaTheme="majorEastAsia" w:hAnsi="Times New Roman" w:cstheme="minorHAnsi"/>
                <w:i/>
                <w:iCs/>
                <w:color w:val="404040" w:themeColor="text1" w:themeTint="BF"/>
                <w:szCs w:val="20"/>
              </w:rPr>
            </w:pPr>
            <w:proofErr w:type="spellStart"/>
            <w:r w:rsidRPr="00DB77BA">
              <w:rPr>
                <w:rFonts w:ascii="Times New Roman" w:hAnsi="Times New Roman" w:cstheme="minorHAnsi"/>
                <w:szCs w:val="20"/>
              </w:rPr>
              <w:t>Wilusz</w:t>
            </w:r>
            <w:proofErr w:type="spellEnd"/>
          </w:p>
        </w:tc>
      </w:tr>
      <w:tr w:rsidR="001D602A" w:rsidRPr="00DB77BA">
        <w:tc>
          <w:tcPr>
            <w:tcW w:w="4428" w:type="dxa"/>
          </w:tcPr>
          <w:p w:rsidR="001D602A" w:rsidRPr="00DB77BA" w:rsidDel="001E5417" w:rsidRDefault="001D602A" w:rsidP="00177B20">
            <w:pPr>
              <w:spacing w:before="40"/>
              <w:rPr>
                <w:rFonts w:ascii="Times New Roman" w:eastAsia="Times New Roman" w:hAnsi="Times New Roman" w:cstheme="minorHAnsi"/>
                <w:bCs/>
                <w:i/>
                <w:iCs/>
                <w:color w:val="000000"/>
                <w:szCs w:val="20"/>
                <w:lang w:eastAsia="zh-CN"/>
              </w:rPr>
            </w:pPr>
            <w:r w:rsidRPr="00DB77BA">
              <w:rPr>
                <w:rFonts w:ascii="Times New Roman" w:eastAsia="Times New Roman" w:hAnsi="Times New Roman" w:cstheme="minorHAnsi"/>
                <w:bCs/>
                <w:color w:val="000000"/>
                <w:szCs w:val="20"/>
                <w:lang w:eastAsia="zh-CN"/>
              </w:rPr>
              <w:t>Proportion of households who believe they have a fair say in decisions about local land and natural resources</w:t>
            </w:r>
          </w:p>
        </w:tc>
        <w:tc>
          <w:tcPr>
            <w:tcW w:w="1890" w:type="dxa"/>
          </w:tcPr>
          <w:p w:rsidR="001D602A" w:rsidRPr="00DB77BA" w:rsidRDefault="001D602A" w:rsidP="00177B20">
            <w:pPr>
              <w:spacing w:before="40"/>
              <w:rPr>
                <w:rFonts w:ascii="Times New Roman" w:hAnsi="Times New Roman" w:cs="Times New Roman"/>
              </w:rPr>
            </w:pPr>
            <w:r w:rsidRPr="00DB77BA">
              <w:rPr>
                <w:rFonts w:ascii="Times New Roman" w:hAnsi="Times New Roman" w:cs="Times New Roman"/>
              </w:rPr>
              <w:t>Public surveys</w:t>
            </w:r>
          </w:p>
        </w:tc>
        <w:tc>
          <w:tcPr>
            <w:tcW w:w="2250" w:type="dxa"/>
          </w:tcPr>
          <w:p w:rsidR="001D602A" w:rsidRPr="00DB77BA" w:rsidRDefault="001D602A" w:rsidP="00A92519">
            <w:pPr>
              <w:spacing w:before="40"/>
              <w:rPr>
                <w:rFonts w:ascii="Times New Roman" w:hAnsi="Times New Roman" w:cs="Times New Roman"/>
              </w:rPr>
            </w:pPr>
            <w:proofErr w:type="spellStart"/>
            <w:r w:rsidRPr="00DB77BA">
              <w:rPr>
                <w:rFonts w:ascii="Times New Roman" w:hAnsi="Times New Roman" w:cs="Times New Roman"/>
              </w:rPr>
              <w:t>Wilusz</w:t>
            </w:r>
            <w:proofErr w:type="spellEnd"/>
          </w:p>
        </w:tc>
      </w:tr>
      <w:tr w:rsidR="001D602A" w:rsidRPr="00DB77BA">
        <w:tc>
          <w:tcPr>
            <w:tcW w:w="4428" w:type="dxa"/>
          </w:tcPr>
          <w:p w:rsidR="001D602A" w:rsidRPr="00DB77BA" w:rsidRDefault="001D602A" w:rsidP="00792276">
            <w:pPr>
              <w:spacing w:before="40"/>
              <w:rPr>
                <w:rFonts w:ascii="Times New Roman" w:eastAsiaTheme="majorEastAsia" w:hAnsi="Times New Roman" w:cs="Times New Roman"/>
                <w:i/>
                <w:iCs/>
                <w:color w:val="404040" w:themeColor="text1" w:themeTint="BF"/>
              </w:rPr>
            </w:pPr>
            <w:r w:rsidRPr="00DB77BA">
              <w:rPr>
                <w:rFonts w:ascii="Times New Roman" w:eastAsia="Times New Roman" w:hAnsi="Times New Roman" w:cstheme="minorHAnsi"/>
                <w:bCs/>
                <w:color w:val="000000"/>
                <w:szCs w:val="20"/>
                <w:lang w:eastAsia="zh-CN"/>
              </w:rPr>
              <w:t xml:space="preserve">Reduction in amount/proportion of communal land expropriated per year </w:t>
            </w:r>
            <w:r w:rsidR="00792276">
              <w:rPr>
                <w:rFonts w:ascii="Times New Roman" w:eastAsia="Times New Roman" w:hAnsi="Times New Roman" w:cstheme="minorHAnsi"/>
                <w:bCs/>
                <w:color w:val="000000"/>
                <w:szCs w:val="20"/>
                <w:lang w:eastAsia="zh-CN"/>
              </w:rPr>
              <w:t>for private purposes, or through compulsory state acquisition</w:t>
            </w:r>
          </w:p>
        </w:tc>
        <w:tc>
          <w:tcPr>
            <w:tcW w:w="189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Administrative data,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250" w:type="dxa"/>
          </w:tcPr>
          <w:p w:rsidR="001D602A" w:rsidRPr="00DB77BA" w:rsidRDefault="001D602A" w:rsidP="00A92519">
            <w:pPr>
              <w:spacing w:before="40"/>
              <w:rPr>
                <w:rFonts w:ascii="Times New Roman" w:eastAsiaTheme="majorEastAsia" w:hAnsi="Times New Roman" w:cs="Times New Roman"/>
                <w:i/>
                <w:iCs/>
                <w:color w:val="404040" w:themeColor="text1" w:themeTint="BF"/>
              </w:rPr>
            </w:pPr>
            <w:proofErr w:type="spellStart"/>
            <w:r w:rsidRPr="00DB77BA">
              <w:rPr>
                <w:rFonts w:ascii="Times New Roman" w:hAnsi="Times New Roman" w:cs="Times New Roman"/>
              </w:rPr>
              <w:t>Deininger</w:t>
            </w:r>
            <w:proofErr w:type="spellEnd"/>
            <w:r w:rsidRPr="00DB77BA">
              <w:rPr>
                <w:rFonts w:ascii="Times New Roman" w:hAnsi="Times New Roman" w:cs="Times New Roman"/>
              </w:rPr>
              <w:t xml:space="preserve"> et al</w:t>
            </w:r>
            <w:r w:rsidR="00A27F30">
              <w:rPr>
                <w:rFonts w:ascii="Times New Roman" w:hAnsi="Times New Roman" w:cs="Times New Roman"/>
              </w:rPr>
              <w:t>.</w:t>
            </w:r>
          </w:p>
        </w:tc>
      </w:tr>
    </w:tbl>
    <w:p w:rsidR="001D602A" w:rsidRPr="00DB77BA" w:rsidRDefault="001D602A" w:rsidP="00177B20">
      <w:pPr>
        <w:spacing w:before="40" w:after="0" w:line="240" w:lineRule="auto"/>
        <w:rPr>
          <w:rFonts w:ascii="Times New Roman" w:hAnsi="Times New Roman" w:cs="Times New Roman"/>
          <w:i/>
        </w:rPr>
      </w:pPr>
    </w:p>
    <w:p w:rsidR="001D602A" w:rsidRPr="00DB77BA" w:rsidRDefault="001D602A" w:rsidP="00177B20">
      <w:pPr>
        <w:spacing w:before="40" w:after="0" w:line="240" w:lineRule="auto"/>
        <w:rPr>
          <w:rFonts w:ascii="Times New Roman" w:hAnsi="Times New Roman" w:cs="Times New Roman"/>
        </w:rPr>
      </w:pPr>
    </w:p>
    <w:tbl>
      <w:tblPr>
        <w:tblStyle w:val="TableGrid"/>
        <w:tblW w:w="8590" w:type="dxa"/>
        <w:tblInd w:w="108" w:type="dxa"/>
        <w:tblLook w:val="00A0" w:firstRow="1" w:lastRow="0" w:firstColumn="1" w:lastColumn="0" w:noHBand="0" w:noVBand="0"/>
      </w:tblPr>
      <w:tblGrid>
        <w:gridCol w:w="2430"/>
        <w:gridCol w:w="6160"/>
      </w:tblGrid>
      <w:tr w:rsidR="001D602A" w:rsidRPr="00DB77BA">
        <w:tc>
          <w:tcPr>
            <w:tcW w:w="2430" w:type="dxa"/>
            <w:shd w:val="clear" w:color="auto" w:fill="76923C" w:themeFill="accent3" w:themeFillShade="BF"/>
          </w:tcPr>
          <w:p w:rsidR="001D602A" w:rsidRPr="00DB77BA" w:rsidRDefault="001D602A"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 xml:space="preserve">Criteria </w:t>
            </w:r>
          </w:p>
        </w:tc>
        <w:tc>
          <w:tcPr>
            <w:tcW w:w="6160" w:type="dxa"/>
            <w:shd w:val="clear" w:color="auto" w:fill="76923C" w:themeFill="accent3" w:themeFillShade="BF"/>
          </w:tcPr>
          <w:p w:rsidR="001D602A" w:rsidRPr="00DB77BA" w:rsidRDefault="001D602A"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Evaluation</w:t>
            </w:r>
          </w:p>
        </w:tc>
      </w:tr>
      <w:tr w:rsidR="001D602A" w:rsidRPr="00DB77BA">
        <w:tc>
          <w:tcPr>
            <w:tcW w:w="243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Relevance of Indicator to Theme</w:t>
            </w:r>
          </w:p>
        </w:tc>
        <w:tc>
          <w:tcPr>
            <w:tcW w:w="616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De jure</w:t>
            </w:r>
            <w:r w:rsidRPr="00DB77BA">
              <w:rPr>
                <w:rFonts w:ascii="Times New Roman" w:hAnsi="Times New Roman" w:cs="Times New Roman"/>
              </w:rPr>
              <w:t xml:space="preserve"> recognition is worth little if the laws are not implemented. The indicators, including the amount of land expropriated and the confidence in land tenure security, seek to assess the quality of implementation of community land rights laws.</w:t>
            </w:r>
          </w:p>
        </w:tc>
      </w:tr>
      <w:tr w:rsidR="001D602A" w:rsidRPr="00DB77BA">
        <w:tc>
          <w:tcPr>
            <w:tcW w:w="2430" w:type="dxa"/>
          </w:tcPr>
          <w:p w:rsidR="001D602A" w:rsidRPr="00DB77BA" w:rsidRDefault="001D602A" w:rsidP="00177B20">
            <w:pPr>
              <w:spacing w:before="40"/>
              <w:rPr>
                <w:rFonts w:ascii="Times New Roman" w:hAnsi="Times New Roman" w:cs="Times New Roman"/>
                <w:i/>
              </w:rPr>
            </w:pPr>
            <w:r w:rsidRPr="00DB77BA">
              <w:rPr>
                <w:rFonts w:ascii="Times New Roman" w:hAnsi="Times New Roman" w:cs="Times New Roman"/>
                <w:i/>
              </w:rPr>
              <w:t>Data Availability</w:t>
            </w:r>
          </w:p>
        </w:tc>
        <w:tc>
          <w:tcPr>
            <w:tcW w:w="6160" w:type="dxa"/>
          </w:tcPr>
          <w:p w:rsidR="001D602A" w:rsidRPr="00DB77BA" w:rsidRDefault="001D602A" w:rsidP="00F67B98">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Most national governments collect data on land tenure within their borders. The Land Portal extensively documents land transfers.  Tenure systems vary greatly, however, so each country would need to determine the meaning of “local” and “community.”</w:t>
            </w:r>
            <w:r w:rsidRPr="00DB77BA">
              <w:rPr>
                <w:rStyle w:val="EndnoteReference"/>
                <w:rFonts w:ascii="Times New Roman" w:hAnsi="Times New Roman" w:cs="Times New Roman"/>
              </w:rPr>
              <w:endnoteReference w:id="3"/>
            </w:r>
          </w:p>
        </w:tc>
      </w:tr>
      <w:tr w:rsidR="001D602A" w:rsidRPr="00DB77BA">
        <w:tc>
          <w:tcPr>
            <w:tcW w:w="243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Robust: Reliable, Valid, Comparable, Verifiable</w:t>
            </w:r>
          </w:p>
        </w:tc>
        <w:tc>
          <w:tcPr>
            <w:tcW w:w="616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Data on legal frameworks and amount of land held under various types of tenure is robust at the national level. External actors could verify the data collection methods and record keeping, particularly in remote areas.  Data on citizen participation in decision-making, on the other hand, is subjective. This indicator would need to be carefully defined and monitored by external actors to be comparable and verifiable.</w:t>
            </w:r>
          </w:p>
        </w:tc>
      </w:tr>
      <w:tr w:rsidR="001A1B44" w:rsidRPr="00DB77BA">
        <w:tc>
          <w:tcPr>
            <w:tcW w:w="2430" w:type="dxa"/>
          </w:tcPr>
          <w:p w:rsidR="001D602A" w:rsidRPr="00DB77BA" w:rsidRDefault="001D602A"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Action-Oriented</w:t>
            </w:r>
          </w:p>
        </w:tc>
        <w:tc>
          <w:tcPr>
            <w:tcW w:w="6160" w:type="dxa"/>
          </w:tcPr>
          <w:p w:rsidR="001D602A" w:rsidRPr="00DB77BA" w:rsidRDefault="001D602A" w:rsidP="00C83FD6">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The initial indicator calls for law reform in states without an enabling legal framework. The </w:t>
            </w:r>
            <w:r w:rsidR="00C83FD6">
              <w:rPr>
                <w:rFonts w:ascii="Times New Roman" w:hAnsi="Times New Roman" w:cs="Times New Roman"/>
              </w:rPr>
              <w:t>remaining</w:t>
            </w:r>
            <w:r w:rsidRPr="00DB77BA">
              <w:rPr>
                <w:rFonts w:ascii="Times New Roman" w:hAnsi="Times New Roman" w:cs="Times New Roman"/>
              </w:rPr>
              <w:t xml:space="preserve"> indicators call for </w:t>
            </w:r>
            <w:r w:rsidRPr="00DB77BA">
              <w:rPr>
                <w:rFonts w:ascii="Times New Roman" w:hAnsi="Times New Roman" w:cs="Times New Roman"/>
                <w:i/>
              </w:rPr>
              <w:t>implementation</w:t>
            </w:r>
            <w:r w:rsidRPr="00DB77BA">
              <w:rPr>
                <w:rFonts w:ascii="Times New Roman" w:hAnsi="Times New Roman" w:cs="Times New Roman"/>
              </w:rPr>
              <w:t xml:space="preserve"> of land laws recognizing community rights, in particul</w:t>
            </w:r>
            <w:r w:rsidR="00C83FD6">
              <w:rPr>
                <w:rFonts w:ascii="Times New Roman" w:hAnsi="Times New Roman" w:cs="Times New Roman"/>
              </w:rPr>
              <w:t>ar recognizing community claims</w:t>
            </w:r>
            <w:r w:rsidRPr="00DB77BA">
              <w:rPr>
                <w:rFonts w:ascii="Times New Roman" w:hAnsi="Times New Roman" w:cs="Times New Roman"/>
              </w:rPr>
              <w:t xml:space="preserve"> and strengthening local land governance.</w:t>
            </w:r>
            <w:r w:rsidRPr="00DB77BA">
              <w:rPr>
                <w:rStyle w:val="EndnoteReference"/>
                <w:rFonts w:ascii="Times New Roman" w:hAnsi="Times New Roman" w:cs="Times New Roman"/>
              </w:rPr>
              <w:endnoteReference w:id="4"/>
            </w:r>
          </w:p>
        </w:tc>
      </w:tr>
      <w:tr w:rsidR="001A1B44" w:rsidRPr="00DB77BA">
        <w:tc>
          <w:tcPr>
            <w:tcW w:w="2430" w:type="dxa"/>
          </w:tcPr>
          <w:p w:rsidR="001A1B44" w:rsidRPr="00DB77BA" w:rsidRDefault="001A1B4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Universally Applicable</w:t>
            </w:r>
          </w:p>
        </w:tc>
        <w:tc>
          <w:tcPr>
            <w:tcW w:w="6160" w:type="dxa"/>
          </w:tcPr>
          <w:p w:rsidR="001A1B44" w:rsidRPr="00DB77BA" w:rsidRDefault="001A1B44" w:rsidP="00C83FD6">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Lack of secure ownership or use rights to land and natural resources is a more significant problem in low-income and some middle-income countries compared to high-income countries, where land is largely already mapped. However, individuals from countries with secure land rights are responsible for much of the investment that takes advantage of weak land rights, so cooperation/restraint on their </w:t>
            </w:r>
            <w:r w:rsidR="00C83FD6">
              <w:rPr>
                <w:rFonts w:ascii="Times New Roman" w:hAnsi="Times New Roman" w:cs="Times New Roman"/>
              </w:rPr>
              <w:t>part</w:t>
            </w:r>
            <w:r w:rsidRPr="00DB77BA">
              <w:rPr>
                <w:rFonts w:ascii="Times New Roman" w:hAnsi="Times New Roman" w:cs="Times New Roman"/>
              </w:rPr>
              <w:t xml:space="preserve"> is necessary as well. A two-part commitment, each applying to a different subset of countries, may be required for these targets. </w:t>
            </w:r>
          </w:p>
        </w:tc>
      </w:tr>
      <w:tr w:rsidR="001A1B44" w:rsidRPr="00DB77BA">
        <w:tc>
          <w:tcPr>
            <w:tcW w:w="2430" w:type="dxa"/>
          </w:tcPr>
          <w:p w:rsidR="001A1B44" w:rsidRPr="00DB77BA" w:rsidRDefault="001A1B4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Equality-Sensitivity</w:t>
            </w:r>
          </w:p>
        </w:tc>
        <w:tc>
          <w:tcPr>
            <w:tcW w:w="6160" w:type="dxa"/>
          </w:tcPr>
          <w:p w:rsidR="001A1B44" w:rsidRPr="00DB77BA" w:rsidRDefault="00792276" w:rsidP="00B7578F">
            <w:pPr>
              <w:spacing w:before="40"/>
              <w:rPr>
                <w:rFonts w:ascii="Times New Roman" w:eastAsiaTheme="majorEastAsia" w:hAnsi="Times New Roman" w:cs="Times New Roman"/>
                <w:i/>
                <w:iCs/>
                <w:color w:val="404040" w:themeColor="text1" w:themeTint="BF"/>
              </w:rPr>
            </w:pPr>
            <w:r>
              <w:rPr>
                <w:rFonts w:ascii="Times New Roman" w:hAnsi="Times New Roman" w:cs="Times New Roman"/>
              </w:rPr>
              <w:t>Large</w:t>
            </w:r>
            <w:r w:rsidR="001A1B44" w:rsidRPr="00DB77BA">
              <w:rPr>
                <w:rFonts w:ascii="Times New Roman" w:hAnsi="Times New Roman" w:cs="Times New Roman"/>
              </w:rPr>
              <w:t>-scale acquisitions and concessions are disproportionately concentrated in countries where land rights are weakest</w:t>
            </w:r>
            <w:r>
              <w:rPr>
                <w:rFonts w:ascii="Times New Roman" w:hAnsi="Times New Roman" w:cs="Times New Roman"/>
              </w:rPr>
              <w:t>, de</w:t>
            </w:r>
            <w:r w:rsidR="00B7578F">
              <w:rPr>
                <w:rFonts w:ascii="Times New Roman" w:hAnsi="Times New Roman" w:cs="Times New Roman"/>
              </w:rPr>
              <w:t>spite the various problems and conflicts</w:t>
            </w:r>
            <w:r>
              <w:rPr>
                <w:rFonts w:ascii="Times New Roman" w:hAnsi="Times New Roman" w:cs="Times New Roman"/>
              </w:rPr>
              <w:t xml:space="preserve"> </w:t>
            </w:r>
            <w:r w:rsidR="00B7578F">
              <w:rPr>
                <w:rFonts w:ascii="Times New Roman" w:hAnsi="Times New Roman" w:cs="Times New Roman"/>
              </w:rPr>
              <w:t>associated with t</w:t>
            </w:r>
            <w:r>
              <w:rPr>
                <w:rFonts w:ascii="Times New Roman" w:hAnsi="Times New Roman" w:cs="Times New Roman"/>
              </w:rPr>
              <w:t>his practice</w:t>
            </w:r>
            <w:r w:rsidR="001A1B44" w:rsidRPr="00DB77BA">
              <w:rPr>
                <w:rFonts w:ascii="Times New Roman" w:hAnsi="Times New Roman" w:cs="Times New Roman"/>
              </w:rPr>
              <w:t>.</w:t>
            </w:r>
            <w:r w:rsidR="002D5211" w:rsidRPr="00DB77BA">
              <w:rPr>
                <w:rStyle w:val="EndnoteReference"/>
                <w:rFonts w:ascii="Times New Roman" w:hAnsi="Times New Roman" w:cs="Times New Roman"/>
              </w:rPr>
              <w:endnoteReference w:id="5"/>
            </w:r>
            <w:r w:rsidR="002D5211" w:rsidRPr="00DB77BA">
              <w:rPr>
                <w:rFonts w:ascii="Times New Roman" w:hAnsi="Times New Roman" w:cs="Times New Roman"/>
              </w:rPr>
              <w:t xml:space="preserve"> </w:t>
            </w:r>
            <w:r w:rsidR="001A1B44" w:rsidRPr="00DB77BA">
              <w:rPr>
                <w:rFonts w:ascii="Times New Roman" w:hAnsi="Times New Roman" w:cs="Times New Roman"/>
              </w:rPr>
              <w:t xml:space="preserve">Legislating and enforcing community control over land ownership and use </w:t>
            </w:r>
            <w:r w:rsidR="00F37206" w:rsidRPr="00DB77BA">
              <w:rPr>
                <w:rFonts w:ascii="Times New Roman" w:hAnsi="Times New Roman" w:cs="Times New Roman"/>
              </w:rPr>
              <w:t xml:space="preserve">should decrease the imbalance of power </w:t>
            </w:r>
            <w:r w:rsidR="001A1B44" w:rsidRPr="00DB77BA">
              <w:rPr>
                <w:rFonts w:ascii="Times New Roman" w:hAnsi="Times New Roman" w:cs="Times New Roman"/>
              </w:rPr>
              <w:t xml:space="preserve">between landholders and investors. </w:t>
            </w:r>
          </w:p>
        </w:tc>
      </w:tr>
      <w:tr w:rsidR="001A1B44" w:rsidRPr="00DB77BA">
        <w:tc>
          <w:tcPr>
            <w:tcW w:w="2430" w:type="dxa"/>
          </w:tcPr>
          <w:p w:rsidR="001A1B44" w:rsidRPr="00DB77BA" w:rsidRDefault="001A1B4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Absence of Perverse Incentives</w:t>
            </w:r>
          </w:p>
        </w:tc>
        <w:tc>
          <w:tcPr>
            <w:tcW w:w="6160" w:type="dxa"/>
          </w:tcPr>
          <w:p w:rsidR="001A1B44" w:rsidRPr="00DB77BA" w:rsidRDefault="001A1B44"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One major risk in strengthening community land rights is capture by local elites.  The requirement of transparent, participatory local governance is meant to mitigate that risk. </w:t>
            </w:r>
          </w:p>
        </w:tc>
      </w:tr>
    </w:tbl>
    <w:p w:rsidR="001A1B44" w:rsidRPr="00DB77BA" w:rsidRDefault="001A1B44" w:rsidP="00177B20">
      <w:pPr>
        <w:spacing w:before="40" w:after="0" w:line="240" w:lineRule="auto"/>
        <w:rPr>
          <w:rFonts w:ascii="Times New Roman" w:hAnsi="Times New Roman" w:cs="Times New Roman"/>
        </w:rPr>
      </w:pPr>
    </w:p>
    <w:p w:rsidR="00EE4D3E" w:rsidRDefault="00EE4D3E" w:rsidP="00EE4D3E">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References</w:t>
      </w: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Alden Wily, Liz. </w:t>
      </w:r>
      <w:proofErr w:type="gramStart"/>
      <w:r w:rsidRPr="00C56C40">
        <w:rPr>
          <w:rFonts w:ascii="Times New Roman" w:hAnsi="Times New Roman"/>
          <w:sz w:val="20"/>
        </w:rPr>
        <w:t>(2012). Customary Land Tenure in the Modern World.</w:t>
      </w:r>
      <w:proofErr w:type="gramEnd"/>
      <w:r w:rsidRPr="00C56C40">
        <w:rPr>
          <w:rFonts w:ascii="Times New Roman" w:hAnsi="Times New Roman"/>
          <w:sz w:val="20"/>
        </w:rPr>
        <w:t xml:space="preserve"> </w:t>
      </w:r>
      <w:proofErr w:type="gramStart"/>
      <w:r w:rsidRPr="00C56C40">
        <w:rPr>
          <w:rFonts w:ascii="Times New Roman" w:hAnsi="Times New Roman"/>
          <w:i/>
          <w:sz w:val="20"/>
        </w:rPr>
        <w:t xml:space="preserve">Rights and Resources </w:t>
      </w:r>
      <w:r w:rsidR="006C5ECC">
        <w:rPr>
          <w:rFonts w:ascii="Times New Roman" w:hAnsi="Times New Roman"/>
          <w:i/>
          <w:sz w:val="20"/>
        </w:rPr>
        <w:t>Initiative</w:t>
      </w:r>
      <w:r w:rsidRPr="00C56C40">
        <w:rPr>
          <w:rFonts w:ascii="Times New Roman" w:hAnsi="Times New Roman"/>
          <w:sz w:val="20"/>
        </w:rPr>
        <w:t xml:space="preserve"> (RRI).</w:t>
      </w:r>
      <w:proofErr w:type="gramEnd"/>
      <w:r w:rsidRPr="00C56C40">
        <w:rPr>
          <w:rFonts w:ascii="Times New Roman" w:hAnsi="Times New Roman"/>
          <w:sz w:val="20"/>
        </w:rPr>
        <w:t xml:space="preserve"> &lt;http://www.rightsandresources.org/documents/files/doc_4699.pdf&gt;.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r>
        <w:rPr>
          <w:rFonts w:ascii="Times New Roman" w:hAnsi="Times New Roman"/>
          <w:sz w:val="20"/>
        </w:rPr>
        <w:t xml:space="preserve">Andrews, Matt. (2012, October 23). </w:t>
      </w:r>
      <w:proofErr w:type="gramStart"/>
      <w:r>
        <w:rPr>
          <w:rFonts w:ascii="Times New Roman" w:hAnsi="Times New Roman"/>
          <w:sz w:val="20"/>
        </w:rPr>
        <w:t>Birth Regi</w:t>
      </w:r>
      <w:r w:rsidR="006C5ECC">
        <w:rPr>
          <w:rFonts w:ascii="Times New Roman" w:hAnsi="Times New Roman"/>
          <w:sz w:val="20"/>
        </w:rPr>
        <w:t>stration Rates as a Governance I</w:t>
      </w:r>
      <w:r>
        <w:rPr>
          <w:rFonts w:ascii="Times New Roman" w:hAnsi="Times New Roman"/>
          <w:sz w:val="20"/>
        </w:rPr>
        <w:t>ndicator.</w:t>
      </w:r>
      <w:proofErr w:type="gramEnd"/>
      <w:r>
        <w:rPr>
          <w:rFonts w:ascii="Times New Roman" w:hAnsi="Times New Roman"/>
          <w:sz w:val="20"/>
        </w:rPr>
        <w:t xml:space="preserve"> &lt;</w:t>
      </w:r>
      <w:r w:rsidRPr="00AD4BF0">
        <w:rPr>
          <w:rFonts w:ascii="Times New Roman" w:hAnsi="Times New Roman"/>
          <w:sz w:val="20"/>
        </w:rPr>
        <w:t>http://matthewandrews.typepad.com/mattandrews/2012/10/b.html</w:t>
      </w:r>
      <w:r>
        <w:rPr>
          <w:rFonts w:ascii="Times New Roman" w:hAnsi="Times New Roman"/>
          <w:sz w:val="20"/>
        </w:rPr>
        <w: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Banisar</w:t>
      </w:r>
      <w:proofErr w:type="spellEnd"/>
      <w:r w:rsidRPr="00C56C40">
        <w:rPr>
          <w:rFonts w:ascii="Times New Roman" w:hAnsi="Times New Roman"/>
          <w:sz w:val="20"/>
        </w:rPr>
        <w:t xml:space="preserve">, David. </w:t>
      </w:r>
      <w:proofErr w:type="gramStart"/>
      <w:r w:rsidRPr="00C56C40">
        <w:rPr>
          <w:rFonts w:ascii="Times New Roman" w:hAnsi="Times New Roman"/>
          <w:sz w:val="20"/>
        </w:rPr>
        <w:t>(2006). Freedom of Information World Report.</w:t>
      </w:r>
      <w:proofErr w:type="gramEnd"/>
      <w:r w:rsidRPr="00C56C40">
        <w:rPr>
          <w:rFonts w:ascii="Times New Roman" w:hAnsi="Times New Roman"/>
          <w:sz w:val="20"/>
        </w:rPr>
        <w:t xml:space="preserve"> </w:t>
      </w:r>
      <w:proofErr w:type="gramStart"/>
      <w:r w:rsidRPr="00C56C40">
        <w:rPr>
          <w:rFonts w:ascii="Times New Roman" w:hAnsi="Times New Roman"/>
          <w:i/>
          <w:sz w:val="20"/>
        </w:rPr>
        <w:t>Privacy</w:t>
      </w:r>
      <w:r w:rsidRPr="00C56C40">
        <w:rPr>
          <w:rFonts w:ascii="Times New Roman" w:hAnsi="Times New Roman"/>
          <w:sz w:val="20"/>
        </w:rPr>
        <w:t xml:space="preserve"> </w:t>
      </w:r>
      <w:r w:rsidRPr="00C56C40">
        <w:rPr>
          <w:rFonts w:ascii="Times New Roman" w:hAnsi="Times New Roman"/>
          <w:i/>
          <w:sz w:val="20"/>
        </w:rPr>
        <w:t>International</w:t>
      </w:r>
      <w:r w:rsidRPr="00C56C40">
        <w:rPr>
          <w:rFonts w:ascii="Times New Roman" w:hAnsi="Times New Roman"/>
          <w:sz w:val="20"/>
        </w:rPr>
        <w:t>, 1.</w:t>
      </w:r>
      <w:proofErr w:type="gramEnd"/>
      <w:r w:rsidRPr="00C56C40">
        <w:rPr>
          <w:rFonts w:ascii="Times New Roman" w:hAnsi="Times New Roman"/>
          <w:sz w:val="20"/>
        </w:rPr>
        <w:t xml:space="preserve"> </w:t>
      </w:r>
    </w:p>
    <w:p w:rsidR="00233377" w:rsidRPr="00C56C40" w:rsidRDefault="00233377" w:rsidP="00233377">
      <w:pPr>
        <w:pStyle w:val="EndnoteText"/>
        <w:rPr>
          <w:rFonts w:ascii="Times New Roman" w:hAnsi="Times New Roman"/>
          <w:sz w:val="20"/>
        </w:rPr>
      </w:pPr>
      <w:r w:rsidRPr="00C56C40">
        <w:rPr>
          <w:rFonts w:ascii="Times New Roman" w:hAnsi="Times New Roman"/>
          <w:sz w:val="20"/>
        </w:rPr>
        <w:t>&lt;http://papers.ssrn.com/sol3/papers.cfm?abstract_id=1707336&gt;.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 xml:space="preserve">Bates-Earner, Nicole and Barry </w:t>
      </w:r>
      <w:proofErr w:type="spellStart"/>
      <w:r w:rsidRPr="00C56C40">
        <w:rPr>
          <w:rFonts w:ascii="Times New Roman" w:hAnsi="Times New Roman"/>
          <w:sz w:val="20"/>
        </w:rPr>
        <w:t>Carin</w:t>
      </w:r>
      <w:proofErr w:type="spellEnd"/>
      <w:r w:rsidRPr="00C56C40">
        <w:rPr>
          <w:rFonts w:ascii="Times New Roman" w:hAnsi="Times New Roman"/>
          <w:sz w:val="20"/>
        </w:rPr>
        <w:t xml:space="preserve">, Min Ha Lee, </w:t>
      </w:r>
      <w:proofErr w:type="spellStart"/>
      <w:r w:rsidRPr="00C56C40">
        <w:rPr>
          <w:rFonts w:ascii="Times New Roman" w:hAnsi="Times New Roman"/>
          <w:sz w:val="20"/>
        </w:rPr>
        <w:t>Wonhyuk</w:t>
      </w:r>
      <w:proofErr w:type="spellEnd"/>
      <w:r w:rsidRPr="00C56C40">
        <w:rPr>
          <w:rFonts w:ascii="Times New Roman" w:hAnsi="Times New Roman"/>
          <w:sz w:val="20"/>
        </w:rPr>
        <w:t xml:space="preserve"> Lim, </w:t>
      </w:r>
      <w:proofErr w:type="spellStart"/>
      <w:r w:rsidRPr="00C56C40">
        <w:rPr>
          <w:rFonts w:ascii="Times New Roman" w:hAnsi="Times New Roman"/>
          <w:sz w:val="20"/>
        </w:rPr>
        <w:t>Mukesh</w:t>
      </w:r>
      <w:proofErr w:type="spellEnd"/>
      <w:r w:rsidRPr="00C56C40">
        <w:rPr>
          <w:rFonts w:ascii="Times New Roman" w:hAnsi="Times New Roman"/>
          <w:sz w:val="20"/>
        </w:rPr>
        <w:t xml:space="preserve"> </w:t>
      </w:r>
      <w:proofErr w:type="spellStart"/>
      <w:r w:rsidRPr="00C56C40">
        <w:rPr>
          <w:rFonts w:ascii="Times New Roman" w:hAnsi="Times New Roman"/>
          <w:sz w:val="20"/>
        </w:rPr>
        <w:t>Kapila</w:t>
      </w:r>
      <w:proofErr w:type="spellEnd"/>
      <w:r w:rsidRPr="00C56C40">
        <w:rPr>
          <w:rFonts w:ascii="Times New Roman" w:hAnsi="Times New Roman"/>
          <w:sz w:val="20"/>
        </w:rPr>
        <w:t>.</w:t>
      </w:r>
      <w:proofErr w:type="gramEnd"/>
      <w:r w:rsidRPr="00C56C40">
        <w:rPr>
          <w:rFonts w:ascii="Times New Roman" w:hAnsi="Times New Roman"/>
          <w:sz w:val="20"/>
        </w:rPr>
        <w:t xml:space="preserve"> (2012). Post-2015 Development Agenda: Goals, Targets and Indicators. </w:t>
      </w:r>
      <w:r w:rsidRPr="00C56C40">
        <w:rPr>
          <w:rFonts w:ascii="Times New Roman" w:hAnsi="Times New Roman"/>
          <w:i/>
          <w:sz w:val="20"/>
        </w:rPr>
        <w:t>Centre for International Governance Innovation and Korean Development Institute</w:t>
      </w:r>
      <w:r w:rsidRPr="00C56C40">
        <w:rPr>
          <w:rFonts w:ascii="Times New Roman" w:hAnsi="Times New Roman"/>
          <w:sz w:val="20"/>
        </w:rPr>
        <w:t>, 55. &lt;http://www.cigionline.org/sites/default/files/MDG_Post_2015v3.pdf&gt;.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Brinkman, Hans-</w:t>
      </w:r>
      <w:proofErr w:type="spellStart"/>
      <w:r w:rsidRPr="00C56C40">
        <w:rPr>
          <w:rFonts w:ascii="Times New Roman" w:hAnsi="Times New Roman"/>
          <w:sz w:val="20"/>
        </w:rPr>
        <w:t>Jenk</w:t>
      </w:r>
      <w:proofErr w:type="spellEnd"/>
      <w:r w:rsidRPr="00C56C40">
        <w:rPr>
          <w:rFonts w:ascii="Times New Roman" w:hAnsi="Times New Roman"/>
          <w:sz w:val="20"/>
        </w:rPr>
        <w:t xml:space="preserve">. </w:t>
      </w:r>
      <w:proofErr w:type="gramStart"/>
      <w:r w:rsidRPr="00C56C40">
        <w:rPr>
          <w:rFonts w:ascii="Times New Roman" w:hAnsi="Times New Roman"/>
          <w:sz w:val="20"/>
        </w:rPr>
        <w:t>(2013). Think piece on the inclusion of goals, targets and indicators for peace and security and related areas into the post-2015 development framework.</w:t>
      </w:r>
      <w:proofErr w:type="gramEnd"/>
      <w:r w:rsidRPr="00C56C40">
        <w:rPr>
          <w:rFonts w:ascii="Times New Roman" w:hAnsi="Times New Roman"/>
          <w:sz w:val="20"/>
        </w:rPr>
        <w:t xml:space="preserve"> </w:t>
      </w:r>
      <w:proofErr w:type="gramStart"/>
      <w:r w:rsidRPr="00C56C40">
        <w:rPr>
          <w:rFonts w:ascii="Times New Roman" w:hAnsi="Times New Roman"/>
          <w:i/>
          <w:sz w:val="20"/>
        </w:rPr>
        <w:t>United Nations Peacebuilding Support Office</w:t>
      </w:r>
      <w:r w:rsidRPr="00C56C40">
        <w:rPr>
          <w:rFonts w:ascii="Times New Roman" w:hAnsi="Times New Roman"/>
          <w:sz w:val="20"/>
        </w:rPr>
        <w:t>, 12.</w:t>
      </w:r>
      <w:proofErr w:type="gramEnd"/>
      <w:r w:rsidRPr="00C56C40">
        <w:rPr>
          <w:rFonts w:ascii="Times New Roman" w:hAnsi="Times New Roman"/>
          <w:sz w:val="20"/>
        </w:rPr>
        <w:t xml:space="preserve">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Coliver</w:t>
      </w:r>
      <w:proofErr w:type="spellEnd"/>
      <w:r w:rsidRPr="00C56C40">
        <w:rPr>
          <w:rFonts w:ascii="Times New Roman" w:hAnsi="Times New Roman"/>
          <w:sz w:val="20"/>
        </w:rPr>
        <w:t xml:space="preserve">, Sandra. (2009). </w:t>
      </w:r>
      <w:proofErr w:type="gramStart"/>
      <w:r w:rsidRPr="00C56C40">
        <w:rPr>
          <w:rFonts w:ascii="Times New Roman" w:hAnsi="Times New Roman"/>
          <w:sz w:val="20"/>
        </w:rPr>
        <w:t>The</w:t>
      </w:r>
      <w:proofErr w:type="gramEnd"/>
      <w:r w:rsidRPr="00C56C40">
        <w:rPr>
          <w:rFonts w:ascii="Times New Roman" w:hAnsi="Times New Roman"/>
          <w:sz w:val="20"/>
        </w:rPr>
        <w:t xml:space="preserve"> Right to Information and the Increasing Scope of Bodies Covered by National Laws Since 1989. </w:t>
      </w:r>
      <w:r w:rsidRPr="00C56C40">
        <w:rPr>
          <w:rFonts w:ascii="Times New Roman" w:hAnsi="Times New Roman"/>
          <w:i/>
          <w:sz w:val="20"/>
        </w:rPr>
        <w:t>Open Society Justice Initiative</w:t>
      </w:r>
      <w:r w:rsidRPr="00C56C40">
        <w:rPr>
          <w:rFonts w:ascii="Times New Roman" w:hAnsi="Times New Roman"/>
          <w:sz w:val="20"/>
        </w:rPr>
        <w:t>, 26. &lt;http://www.right2info.org/resources/publications/coliver-scope-of-bodies-covered-by-rti-laws&gt;.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Deininger</w:t>
      </w:r>
      <w:proofErr w:type="spellEnd"/>
      <w:r w:rsidRPr="00C56C40">
        <w:rPr>
          <w:rFonts w:ascii="Times New Roman" w:hAnsi="Times New Roman"/>
          <w:sz w:val="20"/>
        </w:rPr>
        <w:t xml:space="preserve">, Klaus, Harris </w:t>
      </w:r>
      <w:proofErr w:type="spellStart"/>
      <w:r w:rsidRPr="00C56C40">
        <w:rPr>
          <w:rFonts w:ascii="Times New Roman" w:hAnsi="Times New Roman"/>
          <w:sz w:val="20"/>
        </w:rPr>
        <w:t>Selod</w:t>
      </w:r>
      <w:proofErr w:type="spellEnd"/>
      <w:r w:rsidRPr="00C56C40">
        <w:rPr>
          <w:rFonts w:ascii="Times New Roman" w:hAnsi="Times New Roman"/>
          <w:sz w:val="20"/>
        </w:rPr>
        <w:t xml:space="preserve">, and Anthony Burns. (2012). </w:t>
      </w:r>
      <w:proofErr w:type="gramStart"/>
      <w:r w:rsidRPr="00C56C40">
        <w:rPr>
          <w:rFonts w:ascii="Times New Roman" w:hAnsi="Times New Roman"/>
          <w:sz w:val="20"/>
        </w:rPr>
        <w:t>The</w:t>
      </w:r>
      <w:proofErr w:type="gramEnd"/>
      <w:r w:rsidRPr="00C56C40">
        <w:rPr>
          <w:rFonts w:ascii="Times New Roman" w:hAnsi="Times New Roman"/>
          <w:sz w:val="20"/>
        </w:rPr>
        <w:t xml:space="preserve"> Land Governance Assessment Framework. </w:t>
      </w:r>
      <w:r w:rsidRPr="00C56C40">
        <w:rPr>
          <w:rFonts w:ascii="Times New Roman" w:hAnsi="Times New Roman"/>
          <w:i/>
          <w:sz w:val="20"/>
        </w:rPr>
        <w:t>World Bank</w:t>
      </w:r>
      <w:r w:rsidR="006C5ECC">
        <w:rPr>
          <w:rFonts w:ascii="Times New Roman" w:hAnsi="Times New Roman"/>
          <w:sz w:val="20"/>
        </w:rPr>
        <w:t>, 41</w:t>
      </w:r>
      <w:r w:rsidRPr="00C56C40">
        <w:rPr>
          <w:rFonts w:ascii="Times New Roman" w:hAnsi="Times New Roman"/>
          <w:sz w:val="20"/>
        </w:rPr>
        <w:t>-43</w:t>
      </w:r>
      <w:r w:rsidR="006C5ECC">
        <w:rPr>
          <w:rFonts w:ascii="Times New Roman" w:hAnsi="Times New Roman"/>
          <w:sz w:val="20"/>
        </w:rPr>
        <w:t>.</w:t>
      </w:r>
      <w:r w:rsidRPr="00C56C40">
        <w:rPr>
          <w:rFonts w:ascii="Times New Roman" w:hAnsi="Times New Roman"/>
          <w:sz w:val="20"/>
        </w:rPr>
        <w:t xml:space="preserve"> &lt;https://openknowledge.worldbank.org/bitstream/handle/10986/2376/657430PUB0EPI1065724B09780821387580.pdf?sequence=1&gt;.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Department f</w:t>
      </w:r>
      <w:r>
        <w:rPr>
          <w:rFonts w:ascii="Times New Roman" w:hAnsi="Times New Roman"/>
          <w:sz w:val="20"/>
        </w:rPr>
        <w:t>or International Development (</w:t>
      </w:r>
      <w:proofErr w:type="spellStart"/>
      <w:r>
        <w:rPr>
          <w:rFonts w:ascii="Times New Roman" w:hAnsi="Times New Roman"/>
          <w:sz w:val="20"/>
        </w:rPr>
        <w:t>Df</w:t>
      </w:r>
      <w:r w:rsidRPr="00C56C40">
        <w:rPr>
          <w:rFonts w:ascii="Times New Roman" w:hAnsi="Times New Roman"/>
          <w:sz w:val="20"/>
        </w:rPr>
        <w:t>ID</w:t>
      </w:r>
      <w:proofErr w:type="spellEnd"/>
      <w:r w:rsidRPr="00C56C40">
        <w:rPr>
          <w:rFonts w:ascii="Times New Roman" w:hAnsi="Times New Roman"/>
          <w:sz w:val="20"/>
        </w:rPr>
        <w:t>).</w:t>
      </w:r>
      <w:proofErr w:type="gramEnd"/>
      <w:r w:rsidRPr="00C56C40">
        <w:rPr>
          <w:rFonts w:ascii="Times New Roman" w:hAnsi="Times New Roman"/>
          <w:sz w:val="20"/>
        </w:rPr>
        <w:t xml:space="preserve"> (2011). Indicators and VFM in Governance Programming: Annex 1: Suggested Indicators for Security and Justice, 21. &lt;http://r4d.dfid.gov.uk/PDF/Outputs/Mis_SPC/60797_GovernanceIndicatorsVFMNoteFINAL.pdf&gt;.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Dokeniya</w:t>
      </w:r>
      <w:proofErr w:type="spellEnd"/>
      <w:r w:rsidRPr="00C56C40">
        <w:rPr>
          <w:rFonts w:ascii="Times New Roman" w:hAnsi="Times New Roman"/>
          <w:sz w:val="20"/>
        </w:rPr>
        <w:t xml:space="preserve">, </w:t>
      </w:r>
      <w:proofErr w:type="spellStart"/>
      <w:r w:rsidRPr="00C56C40">
        <w:rPr>
          <w:rFonts w:ascii="Times New Roman" w:hAnsi="Times New Roman"/>
          <w:sz w:val="20"/>
        </w:rPr>
        <w:t>Anupama</w:t>
      </w:r>
      <w:proofErr w:type="spellEnd"/>
      <w:r w:rsidRPr="00C56C40">
        <w:rPr>
          <w:rFonts w:ascii="Times New Roman" w:hAnsi="Times New Roman"/>
          <w:sz w:val="20"/>
        </w:rPr>
        <w:t xml:space="preserve">. (2013). Implementing the Right to Information: Lessons from Experience. </w:t>
      </w:r>
      <w:proofErr w:type="gramStart"/>
      <w:r w:rsidRPr="00C56C40">
        <w:rPr>
          <w:rFonts w:ascii="Times New Roman" w:hAnsi="Times New Roman"/>
          <w:i/>
          <w:sz w:val="20"/>
        </w:rPr>
        <w:t>World Bank</w:t>
      </w:r>
      <w:r w:rsidRPr="00C56C40">
        <w:rPr>
          <w:rFonts w:ascii="Times New Roman" w:hAnsi="Times New Roman"/>
          <w:sz w:val="20"/>
        </w:rPr>
        <w:t>, 45.</w:t>
      </w:r>
      <w:proofErr w:type="gramEnd"/>
      <w:r w:rsidRPr="00C56C40">
        <w:rPr>
          <w:rFonts w:ascii="Times New Roman" w:hAnsi="Times New Roman"/>
          <w:sz w:val="20"/>
        </w:rPr>
        <w:t xml:space="preserve"> &lt;http://www.right2info.org/resources/publications/publications/wb_implementing-rti_lessons-from-experience_2013&gt;.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Food and Agriculture Organization (FAO) of the United Nations.</w:t>
      </w:r>
      <w:proofErr w:type="gramEnd"/>
      <w:r w:rsidRPr="00C56C40">
        <w:rPr>
          <w:rFonts w:ascii="Times New Roman" w:hAnsi="Times New Roman"/>
          <w:sz w:val="20"/>
        </w:rPr>
        <w:t xml:space="preserve"> (2012). Voluntary Guidelines on the Responsible Governance of Tenure of Land, Fisheries </w:t>
      </w:r>
      <w:r w:rsidR="006C5ECC">
        <w:rPr>
          <w:rFonts w:ascii="Times New Roman" w:hAnsi="Times New Roman"/>
          <w:sz w:val="20"/>
        </w:rPr>
        <w:t>and Forests in the Context of National Food Security,</w:t>
      </w:r>
      <w:r w:rsidRPr="00C56C40">
        <w:rPr>
          <w:rFonts w:ascii="Times New Roman" w:hAnsi="Times New Roman"/>
          <w:sz w:val="20"/>
        </w:rPr>
        <w:t xml:space="preserve"> 13-14. &lt;http://www.fao.org/docrep/016/i2801e/i2801e.pdf&gt;.</w:t>
      </w:r>
    </w:p>
    <w:p w:rsidR="00233377"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bCs/>
          <w:sz w:val="20"/>
          <w:szCs w:val="18"/>
        </w:rPr>
        <w:t>Frecheville</w:t>
      </w:r>
      <w:proofErr w:type="spellEnd"/>
      <w:r w:rsidRPr="00C56C40">
        <w:rPr>
          <w:rFonts w:ascii="Times New Roman" w:hAnsi="Times New Roman"/>
          <w:bCs/>
          <w:sz w:val="20"/>
          <w:szCs w:val="18"/>
        </w:rPr>
        <w:t>, Neva an</w:t>
      </w:r>
      <w:r w:rsidR="006C5ECC">
        <w:rPr>
          <w:rFonts w:ascii="Times New Roman" w:hAnsi="Times New Roman"/>
          <w:bCs/>
          <w:sz w:val="20"/>
          <w:szCs w:val="18"/>
        </w:rPr>
        <w:t xml:space="preserve">d Bernadette </w:t>
      </w:r>
      <w:proofErr w:type="spellStart"/>
      <w:r w:rsidR="006C5ECC">
        <w:rPr>
          <w:rFonts w:ascii="Times New Roman" w:hAnsi="Times New Roman"/>
          <w:bCs/>
          <w:sz w:val="20"/>
          <w:szCs w:val="18"/>
        </w:rPr>
        <w:t>Fischler</w:t>
      </w:r>
      <w:proofErr w:type="spellEnd"/>
      <w:r w:rsidR="006C5ECC">
        <w:rPr>
          <w:rFonts w:ascii="Times New Roman" w:hAnsi="Times New Roman"/>
          <w:bCs/>
          <w:sz w:val="20"/>
          <w:szCs w:val="18"/>
        </w:rPr>
        <w:t xml:space="preserve">. (2013). </w:t>
      </w:r>
      <w:r w:rsidRPr="00C56C40">
        <w:rPr>
          <w:rFonts w:ascii="Times New Roman" w:hAnsi="Times New Roman"/>
          <w:bCs/>
          <w:sz w:val="20"/>
          <w:szCs w:val="18"/>
        </w:rPr>
        <w:t>Building from the Ground Up: Ho the foundations of a post-2015 framework should translate int</w:t>
      </w:r>
      <w:r w:rsidR="006C5ECC">
        <w:rPr>
          <w:rFonts w:ascii="Times New Roman" w:hAnsi="Times New Roman"/>
          <w:bCs/>
          <w:sz w:val="20"/>
          <w:szCs w:val="18"/>
        </w:rPr>
        <w:t>o change for people in poverty.</w:t>
      </w:r>
      <w:r w:rsidRPr="00C56C40">
        <w:rPr>
          <w:rFonts w:ascii="Times New Roman" w:hAnsi="Times New Roman"/>
          <w:bCs/>
          <w:sz w:val="20"/>
          <w:szCs w:val="18"/>
        </w:rPr>
        <w:t xml:space="preserve"> </w:t>
      </w:r>
      <w:r w:rsidRPr="00C56C40">
        <w:rPr>
          <w:rFonts w:ascii="Times New Roman" w:hAnsi="Times New Roman"/>
          <w:i/>
          <w:sz w:val="20"/>
        </w:rPr>
        <w:t>CAFOD</w:t>
      </w:r>
      <w:r w:rsidRPr="00C56C40">
        <w:rPr>
          <w:rFonts w:ascii="Times New Roman" w:hAnsi="Times New Roman"/>
          <w:sz w:val="20"/>
        </w:rPr>
        <w:t>, 22-23.</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G7+. </w:t>
      </w:r>
      <w:proofErr w:type="gramStart"/>
      <w:r w:rsidRPr="00C56C40">
        <w:rPr>
          <w:rFonts w:ascii="Times New Roman" w:hAnsi="Times New Roman"/>
          <w:sz w:val="20"/>
        </w:rPr>
        <w:t xml:space="preserve">(2012). Draft List of Peacebuilding and </w:t>
      </w:r>
      <w:proofErr w:type="spellStart"/>
      <w:r w:rsidRPr="00C56C40">
        <w:rPr>
          <w:rFonts w:ascii="Times New Roman" w:hAnsi="Times New Roman"/>
          <w:sz w:val="20"/>
        </w:rPr>
        <w:t>Statebuilding</w:t>
      </w:r>
      <w:proofErr w:type="spellEnd"/>
      <w:r w:rsidRPr="00C56C40">
        <w:rPr>
          <w:rFonts w:ascii="Times New Roman" w:hAnsi="Times New Roman"/>
          <w:sz w:val="20"/>
        </w:rPr>
        <w:t xml:space="preserve"> Indicators.</w:t>
      </w:r>
      <w:proofErr w:type="gramEnd"/>
      <w:r w:rsidRPr="00C56C40">
        <w:rPr>
          <w:rFonts w:ascii="Times New Roman" w:hAnsi="Times New Roman"/>
          <w:sz w:val="20"/>
        </w:rPr>
        <w:t xml:space="preserve"> </w:t>
      </w:r>
      <w:proofErr w:type="gramStart"/>
      <w:r w:rsidRPr="00C56C40">
        <w:rPr>
          <w:rFonts w:ascii="Times New Roman" w:hAnsi="Times New Roman"/>
          <w:i/>
          <w:sz w:val="20"/>
        </w:rPr>
        <w:t xml:space="preserve">G7+ International Dialogue on Peacebuilding and </w:t>
      </w:r>
      <w:proofErr w:type="spellStart"/>
      <w:r w:rsidRPr="00C56C40">
        <w:rPr>
          <w:rFonts w:ascii="Times New Roman" w:hAnsi="Times New Roman"/>
          <w:i/>
          <w:sz w:val="20"/>
        </w:rPr>
        <w:t>Statebuilding</w:t>
      </w:r>
      <w:proofErr w:type="spellEnd"/>
      <w:r w:rsidRPr="00C56C40">
        <w:rPr>
          <w:rFonts w:ascii="Times New Roman" w:hAnsi="Times New Roman"/>
          <w:i/>
          <w:sz w:val="20"/>
        </w:rPr>
        <w:t>.</w:t>
      </w:r>
      <w:proofErr w:type="gramEnd"/>
      <w:r w:rsidRPr="00C56C40">
        <w:rPr>
          <w:rFonts w:ascii="Times New Roman" w:hAnsi="Times New Roman"/>
          <w:i/>
          <w:sz w:val="20"/>
        </w:rPr>
        <w:t xml:space="preserve"> </w:t>
      </w:r>
      <w:r w:rsidRPr="00C56C40">
        <w:rPr>
          <w:rFonts w:ascii="Times New Roman" w:hAnsi="Times New Roman"/>
          <w:sz w:val="20"/>
        </w:rPr>
        <w:t xml:space="preserve">Monrovia, Liberia, 5.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Global Integrity. (2011). Global Integrity Report: Integrity Indicators 2011. &lt;http://www.globalintegrity.org/report&gt;.</w:t>
      </w: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lastRenderedPageBreak/>
        <w:t>International Budget Partnership.</w:t>
      </w:r>
      <w:proofErr w:type="gramEnd"/>
      <w:r w:rsidRPr="00C56C40">
        <w:rPr>
          <w:rFonts w:ascii="Times New Roman" w:hAnsi="Times New Roman"/>
          <w:sz w:val="20"/>
        </w:rPr>
        <w:t xml:space="preserve"> (2010). Ask Your Government Initiative. &lt;http://internationalbudget.org/what-we-do/major-ibp-initiatives/international-advocacy/ask-your-government/&gt;.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Global Campaign for Aid Transparency.</w:t>
      </w:r>
      <w:proofErr w:type="gramEnd"/>
      <w:r w:rsidRPr="00C56C40">
        <w:rPr>
          <w:rFonts w:ascii="Times New Roman" w:hAnsi="Times New Roman"/>
          <w:sz w:val="20"/>
        </w:rPr>
        <w:t xml:space="preserve"> </w:t>
      </w:r>
      <w:proofErr w:type="gramStart"/>
      <w:r w:rsidRPr="00C56C40">
        <w:rPr>
          <w:rFonts w:ascii="Times New Roman" w:hAnsi="Times New Roman"/>
          <w:sz w:val="20"/>
        </w:rPr>
        <w:t>(2012). Aid Transparency Index, 23.</w:t>
      </w:r>
      <w:proofErr w:type="gramEnd"/>
      <w:r w:rsidRPr="00C56C40">
        <w:rPr>
          <w:rFonts w:ascii="Times New Roman" w:hAnsi="Times New Roman"/>
          <w:sz w:val="20"/>
        </w:rPr>
        <w:t xml:space="preserve"> &lt;http://www.publishwhatyoufund.org/files/2012-Aid-Transparency-Index_web-singles.pdf&gt;.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Langford, Malcolm. (2012). The Art of the Impossible: Measurement Choices and the Post-2015 Development Agenda. </w:t>
      </w:r>
      <w:r w:rsidRPr="00C56C40">
        <w:rPr>
          <w:rFonts w:ascii="Times New Roman" w:hAnsi="Times New Roman"/>
          <w:sz w:val="20"/>
          <w:szCs w:val="19"/>
        </w:rPr>
        <w:t>OHCHR/UNDP Expert Consultation, New York, 32-34.</w:t>
      </w:r>
      <w:r w:rsidR="006C5ECC">
        <w:rPr>
          <w:rFonts w:ascii="Times New Roman" w:hAnsi="Times New Roman"/>
          <w:sz w:val="20"/>
        </w:rPr>
        <w:t xml:space="preserve"> </w:t>
      </w:r>
      <w:proofErr w:type="gramStart"/>
      <w:r w:rsidR="006C5ECC">
        <w:rPr>
          <w:rFonts w:ascii="Times New Roman" w:hAnsi="Times New Roman"/>
          <w:sz w:val="20"/>
        </w:rPr>
        <w:t>(On file with a</w:t>
      </w:r>
      <w:r w:rsidRPr="00C56C40">
        <w:rPr>
          <w:rFonts w:ascii="Times New Roman" w:hAnsi="Times New Roman"/>
          <w:sz w:val="20"/>
        </w:rPr>
        <w:t>uthor).</w:t>
      </w:r>
      <w:proofErr w:type="gramEnd"/>
    </w:p>
    <w:p w:rsidR="00233377" w:rsidRPr="00C56C40"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proofErr w:type="gramStart"/>
      <w:r w:rsidRPr="00C56C40">
        <w:rPr>
          <w:rFonts w:ascii="Times New Roman" w:hAnsi="Times New Roman"/>
          <w:sz w:val="20"/>
        </w:rPr>
        <w:t>Lawson-Remer, Terra.</w:t>
      </w:r>
      <w:proofErr w:type="gramEnd"/>
      <w:r w:rsidRPr="00C56C40">
        <w:rPr>
          <w:rFonts w:ascii="Times New Roman" w:hAnsi="Times New Roman"/>
          <w:sz w:val="20"/>
        </w:rPr>
        <w:t xml:space="preserve"> </w:t>
      </w:r>
      <w:proofErr w:type="gramStart"/>
      <w:r w:rsidRPr="00C56C40">
        <w:rPr>
          <w:rFonts w:ascii="Times New Roman" w:hAnsi="Times New Roman"/>
          <w:sz w:val="20"/>
        </w:rPr>
        <w:t>(2013). Governance and Human Rights in the Post-2015 Development Framework, 12.</w:t>
      </w:r>
      <w:proofErr w:type="gramEnd"/>
      <w:r w:rsidRPr="00C56C40">
        <w:rPr>
          <w:rFonts w:ascii="Times New Roman" w:hAnsi="Times New Roman"/>
          <w:sz w:val="20"/>
        </w:rPr>
        <w:t xml:space="preserve">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spacing w:after="0"/>
        <w:rPr>
          <w:rFonts w:ascii="Times New Roman" w:hAnsi="Times New Roman" w:cs="Times New Roman"/>
          <w:sz w:val="20"/>
          <w:szCs w:val="18"/>
        </w:rPr>
      </w:pPr>
      <w:r w:rsidRPr="00C56C40">
        <w:rPr>
          <w:rFonts w:ascii="Times New Roman" w:hAnsi="Times New Roman" w:cs="Times New Roman"/>
          <w:sz w:val="20"/>
          <w:szCs w:val="18"/>
        </w:rPr>
        <w:t xml:space="preserve">Knight, Rachael, Judy </w:t>
      </w:r>
      <w:proofErr w:type="spellStart"/>
      <w:r w:rsidRPr="00C56C40">
        <w:rPr>
          <w:rFonts w:ascii="Times New Roman" w:hAnsi="Times New Roman" w:cs="Times New Roman"/>
          <w:sz w:val="20"/>
          <w:szCs w:val="18"/>
        </w:rPr>
        <w:t>Adoko</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Ailas</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Siakor</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Alda</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Salomao</w:t>
      </w:r>
      <w:proofErr w:type="spellEnd"/>
      <w:r w:rsidRPr="00C56C40">
        <w:rPr>
          <w:rFonts w:ascii="Times New Roman" w:hAnsi="Times New Roman" w:cs="Times New Roman"/>
          <w:sz w:val="20"/>
          <w:szCs w:val="18"/>
        </w:rPr>
        <w:t xml:space="preserve">, Teresa </w:t>
      </w:r>
      <w:proofErr w:type="spellStart"/>
      <w:r w:rsidRPr="00C56C40">
        <w:rPr>
          <w:rFonts w:ascii="Times New Roman" w:hAnsi="Times New Roman" w:cs="Times New Roman"/>
          <w:sz w:val="20"/>
          <w:szCs w:val="18"/>
        </w:rPr>
        <w:t>Auma</w:t>
      </w:r>
      <w:proofErr w:type="spellEnd"/>
      <w:r w:rsidRPr="00C56C40">
        <w:rPr>
          <w:rFonts w:ascii="Times New Roman" w:hAnsi="Times New Roman" w:cs="Times New Roman"/>
          <w:sz w:val="20"/>
          <w:szCs w:val="18"/>
        </w:rPr>
        <w:t xml:space="preserve">, Ali </w:t>
      </w:r>
      <w:proofErr w:type="spellStart"/>
      <w:r w:rsidRPr="00C56C40">
        <w:rPr>
          <w:rFonts w:ascii="Times New Roman" w:hAnsi="Times New Roman" w:cs="Times New Roman"/>
          <w:sz w:val="20"/>
          <w:szCs w:val="18"/>
        </w:rPr>
        <w:t>Kaba</w:t>
      </w:r>
      <w:proofErr w:type="spellEnd"/>
      <w:r w:rsidRPr="00C56C40">
        <w:rPr>
          <w:rFonts w:ascii="Times New Roman" w:hAnsi="Times New Roman" w:cs="Times New Roman"/>
          <w:sz w:val="20"/>
          <w:szCs w:val="18"/>
        </w:rPr>
        <w:t xml:space="preserve"> and </w:t>
      </w:r>
      <w:proofErr w:type="spellStart"/>
      <w:r w:rsidRPr="00C56C40">
        <w:rPr>
          <w:rFonts w:ascii="Times New Roman" w:hAnsi="Times New Roman" w:cs="Times New Roman"/>
          <w:sz w:val="20"/>
          <w:szCs w:val="18"/>
        </w:rPr>
        <w:t>Issufo</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Tankar</w:t>
      </w:r>
      <w:proofErr w:type="spellEnd"/>
      <w:r w:rsidRPr="00C56C40">
        <w:rPr>
          <w:rFonts w:ascii="Times New Roman" w:hAnsi="Times New Roman" w:cs="Times New Roman"/>
          <w:sz w:val="20"/>
          <w:szCs w:val="18"/>
        </w:rPr>
        <w:t xml:space="preserve">. (2012). </w:t>
      </w:r>
      <w:r w:rsidRPr="00C56C40">
        <w:rPr>
          <w:rFonts w:ascii="Times New Roman" w:hAnsi="Times New Roman" w:cs="Times New Roman"/>
          <w:i/>
          <w:sz w:val="20"/>
          <w:szCs w:val="18"/>
        </w:rPr>
        <w:t>Protecting Community Lands and Resources: Evidence from Liberia, Mozambique, and Uganda</w:t>
      </w:r>
      <w:r w:rsidRPr="00C56C40">
        <w:rPr>
          <w:rFonts w:ascii="Times New Roman" w:hAnsi="Times New Roman" w:cs="Times New Roman"/>
          <w:sz w:val="20"/>
          <w:szCs w:val="18"/>
        </w:rPr>
        <w:t>. Namati and International Law Development Organizations: Rome, 184-7.</w:t>
      </w:r>
    </w:p>
    <w:p w:rsidR="00233377" w:rsidRPr="00C56C40" w:rsidRDefault="00233377" w:rsidP="00233377">
      <w:pPr>
        <w:spacing w:after="0"/>
        <w:rPr>
          <w:rFonts w:ascii="Times New Roman" w:hAnsi="Times New Roman"/>
          <w:sz w:val="20"/>
        </w:rPr>
      </w:pPr>
    </w:p>
    <w:p w:rsidR="00233377" w:rsidRPr="00C56C40" w:rsidRDefault="00233377" w:rsidP="00233377">
      <w:pPr>
        <w:spacing w:after="0"/>
        <w:rPr>
          <w:rFonts w:ascii="Times New Roman" w:hAnsi="Times New Roman"/>
          <w:sz w:val="20"/>
          <w:szCs w:val="20"/>
        </w:rPr>
      </w:pPr>
      <w:r w:rsidRPr="00C56C40">
        <w:rPr>
          <w:rFonts w:ascii="Times New Roman" w:hAnsi="Times New Roman"/>
          <w:sz w:val="20"/>
        </w:rPr>
        <w:t xml:space="preserve">Mendel, Toby. (2008). Freedom of Information: A Comparative Legal Survey. </w:t>
      </w:r>
      <w:r w:rsidRPr="00C56C40">
        <w:rPr>
          <w:rFonts w:ascii="Times New Roman" w:hAnsi="Times New Roman"/>
          <w:i/>
          <w:sz w:val="20"/>
        </w:rPr>
        <w:t>UNESCO</w:t>
      </w:r>
      <w:r w:rsidRPr="00C56C40">
        <w:rPr>
          <w:rFonts w:ascii="Times New Roman" w:hAnsi="Times New Roman"/>
          <w:sz w:val="20"/>
        </w:rPr>
        <w:t xml:space="preserve"> (2nd </w:t>
      </w:r>
      <w:proofErr w:type="spellStart"/>
      <w:proofErr w:type="gramStart"/>
      <w:r w:rsidRPr="00C56C40">
        <w:rPr>
          <w:rFonts w:ascii="Times New Roman" w:hAnsi="Times New Roman"/>
          <w:sz w:val="20"/>
        </w:rPr>
        <w:t>ed</w:t>
      </w:r>
      <w:proofErr w:type="spellEnd"/>
      <w:proofErr w:type="gramEnd"/>
      <w:r w:rsidRPr="00C56C40">
        <w:rPr>
          <w:rFonts w:ascii="Times New Roman" w:hAnsi="Times New Roman"/>
          <w:sz w:val="20"/>
        </w:rPr>
        <w: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Pape–</w:t>
      </w:r>
      <w:proofErr w:type="spellStart"/>
      <w:r w:rsidRPr="00C56C40">
        <w:rPr>
          <w:rFonts w:ascii="Times New Roman" w:hAnsi="Times New Roman"/>
          <w:sz w:val="20"/>
        </w:rPr>
        <w:t>Yalibat</w:t>
      </w:r>
      <w:proofErr w:type="spellEnd"/>
      <w:r w:rsidRPr="00C56C40">
        <w:rPr>
          <w:rFonts w:ascii="Times New Roman" w:hAnsi="Times New Roman"/>
          <w:sz w:val="20"/>
        </w:rPr>
        <w:t>, Edgar Alfredo.</w:t>
      </w:r>
      <w:proofErr w:type="gramEnd"/>
      <w:r w:rsidRPr="00C56C40">
        <w:rPr>
          <w:rFonts w:ascii="Times New Roman" w:hAnsi="Times New Roman"/>
          <w:sz w:val="20"/>
        </w:rPr>
        <w:t xml:space="preserve"> </w:t>
      </w:r>
      <w:proofErr w:type="gramStart"/>
      <w:r w:rsidRPr="00C56C40">
        <w:rPr>
          <w:rFonts w:ascii="Times New Roman" w:hAnsi="Times New Roman"/>
          <w:sz w:val="20"/>
        </w:rPr>
        <w:t>(2003). Citizen Initiative for Freedom of Information in Guatemala Citizen Action.</w:t>
      </w:r>
      <w:proofErr w:type="gramEnd"/>
      <w:r w:rsidRPr="00C56C40">
        <w:rPr>
          <w:rFonts w:ascii="Times New Roman" w:hAnsi="Times New Roman"/>
          <w:sz w:val="20"/>
        </w:rPr>
        <w:t xml:space="preserve"> </w:t>
      </w:r>
      <w:proofErr w:type="gramStart"/>
      <w:r w:rsidRPr="00C56C40">
        <w:rPr>
          <w:rFonts w:ascii="Times New Roman" w:hAnsi="Times New Roman"/>
          <w:i/>
          <w:sz w:val="20"/>
        </w:rPr>
        <w:t>World Bank</w:t>
      </w:r>
      <w:r w:rsidRPr="00C56C40">
        <w:rPr>
          <w:rFonts w:ascii="Times New Roman" w:hAnsi="Times New Roman"/>
          <w:sz w:val="20"/>
        </w:rPr>
        <w:t>, 21.</w:t>
      </w:r>
      <w:proofErr w:type="gramEnd"/>
      <w:r w:rsidRPr="00C56C40">
        <w:rPr>
          <w:rFonts w:ascii="Times New Roman" w:hAnsi="Times New Roman"/>
          <w:sz w:val="20"/>
        </w:rPr>
        <w:t xml:space="preserve"> &lt;http://siteresources.worldbank.org/EXTGOVANTICORR/Resources/3035863-1285093935613/VoiceEyesEars1.pdf&gt;.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Plan and UNHCR.</w:t>
      </w:r>
      <w:proofErr w:type="gramEnd"/>
      <w:r w:rsidRPr="00C56C40">
        <w:rPr>
          <w:rFonts w:ascii="Times New Roman" w:hAnsi="Times New Roman"/>
          <w:sz w:val="20"/>
        </w:rPr>
        <w:t xml:space="preserve"> (2012). Under the Radar and Under Protected. </w:t>
      </w:r>
      <w:proofErr w:type="gramStart"/>
      <w:r w:rsidRPr="00C56C40">
        <w:rPr>
          <w:rFonts w:ascii="Times New Roman" w:hAnsi="Times New Roman"/>
          <w:sz w:val="20"/>
        </w:rPr>
        <w:t>New York, 1.</w:t>
      </w:r>
      <w:proofErr w:type="gramEnd"/>
      <w:r w:rsidRPr="00C56C40">
        <w:rPr>
          <w:rFonts w:ascii="Times New Roman" w:hAnsi="Times New Roman"/>
          <w:sz w:val="20"/>
        </w:rPr>
        <w:t xml:space="preserve"> &lt;http://plan-international.org/birthregistration/files/under-the-radar-english&gt;.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Podesta, John. (2013</w:t>
      </w:r>
      <w:r>
        <w:rPr>
          <w:rFonts w:ascii="Times New Roman" w:hAnsi="Times New Roman"/>
          <w:sz w:val="20"/>
        </w:rPr>
        <w:t>, February 13</w:t>
      </w:r>
      <w:r w:rsidRPr="00C56C40">
        <w:rPr>
          <w:rFonts w:ascii="Times New Roman" w:hAnsi="Times New Roman"/>
          <w:sz w:val="20"/>
        </w:rPr>
        <w:t xml:space="preserve">). “Inclusive Economic Growth: Increasing Connectivity, Expanding Opportunity, and Reducing Vulnerability.” </w:t>
      </w:r>
      <w:proofErr w:type="gramStart"/>
      <w:r w:rsidRPr="00C56C40">
        <w:rPr>
          <w:rFonts w:ascii="Times New Roman" w:hAnsi="Times New Roman"/>
          <w:i/>
          <w:sz w:val="20"/>
        </w:rPr>
        <w:t>Center for American Progress.</w:t>
      </w:r>
      <w:proofErr w:type="gramEnd"/>
      <w:r w:rsidRPr="00C56C40">
        <w:rPr>
          <w:rFonts w:ascii="Times New Roman" w:hAnsi="Times New Roman"/>
          <w:sz w:val="20"/>
        </w:rPr>
        <w:t xml:space="preserve"> &lt;http://www.americanprogress.org/issues/economy/report/2013/02/07/52160/inclusive-economic-growth-increasing-connectivity-expanding-opportunity-and-reducing-vulnerability/&gt;.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Soros, George and Sir </w:t>
      </w:r>
      <w:proofErr w:type="spellStart"/>
      <w:r w:rsidRPr="00C56C40">
        <w:rPr>
          <w:rFonts w:ascii="Times New Roman" w:hAnsi="Times New Roman"/>
          <w:sz w:val="20"/>
        </w:rPr>
        <w:t>Fazle</w:t>
      </w:r>
      <w:proofErr w:type="spellEnd"/>
      <w:r w:rsidRPr="00C56C40">
        <w:rPr>
          <w:rFonts w:ascii="Times New Roman" w:hAnsi="Times New Roman"/>
          <w:sz w:val="20"/>
        </w:rPr>
        <w:t xml:space="preserve"> Abed. (2012</w:t>
      </w:r>
      <w:r>
        <w:rPr>
          <w:rFonts w:ascii="Times New Roman" w:hAnsi="Times New Roman"/>
          <w:sz w:val="20"/>
        </w:rPr>
        <w:t>, September 26</w:t>
      </w:r>
      <w:r w:rsidRPr="00C56C40">
        <w:rPr>
          <w:rFonts w:ascii="Times New Roman" w:hAnsi="Times New Roman"/>
          <w:sz w:val="20"/>
        </w:rPr>
        <w:t xml:space="preserve">). Rule of law can rid the world of poverty. </w:t>
      </w:r>
      <w:r w:rsidRPr="00C56C40">
        <w:rPr>
          <w:rFonts w:ascii="Times New Roman" w:hAnsi="Times New Roman"/>
          <w:i/>
          <w:sz w:val="20"/>
        </w:rPr>
        <w:t>Financial Times</w:t>
      </w:r>
      <w:r w:rsidRPr="00C56C40">
        <w:rPr>
          <w:rFonts w:ascii="Times New Roman" w:hAnsi="Times New Roman"/>
          <w:sz w:val="20"/>
        </w:rPr>
        <w:t>. &lt;http://www.ft.com/intl/cms/s/0/f78f8e0a-07cc-11e2-8354-00144feabdc0.html#axzz27cvwHasi&gt;.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Ubiñas</w:t>
      </w:r>
      <w:proofErr w:type="spellEnd"/>
      <w:r w:rsidRPr="00C56C40">
        <w:rPr>
          <w:rFonts w:ascii="Times New Roman" w:hAnsi="Times New Roman"/>
          <w:sz w:val="20"/>
        </w:rPr>
        <w:t xml:space="preserve">, Luis. </w:t>
      </w:r>
      <w:proofErr w:type="gramStart"/>
      <w:r w:rsidRPr="00C56C40">
        <w:rPr>
          <w:rFonts w:ascii="Times New Roman" w:hAnsi="Times New Roman"/>
          <w:sz w:val="20"/>
        </w:rPr>
        <w:t>(2013). Look to the World's Forests—and the People Who Live There—for Climate Change Solutions.</w:t>
      </w:r>
      <w:proofErr w:type="gramEnd"/>
      <w:r w:rsidRPr="00C56C40">
        <w:rPr>
          <w:rFonts w:ascii="Times New Roman" w:hAnsi="Times New Roman"/>
          <w:sz w:val="20"/>
        </w:rPr>
        <w:t xml:space="preserve"> </w:t>
      </w:r>
      <w:r w:rsidRPr="00C56C40">
        <w:rPr>
          <w:rFonts w:ascii="Times New Roman" w:hAnsi="Times New Roman"/>
          <w:i/>
          <w:sz w:val="20"/>
        </w:rPr>
        <w:t>Huffington Post</w:t>
      </w:r>
      <w:r w:rsidRPr="00C56C40">
        <w:rPr>
          <w:rFonts w:ascii="Times New Roman" w:hAnsi="Times New Roman"/>
          <w:sz w:val="20"/>
        </w:rPr>
        <w:t>. &lt;http://www.fordfoundation.org/issues/sustainable-development/climate-change-responses-that-strengthen-rural-communities/news?id=747&gt;.</w:t>
      </w:r>
    </w:p>
    <w:p w:rsidR="00233377" w:rsidRPr="00C56C40" w:rsidRDefault="00233377" w:rsidP="00233377">
      <w:pPr>
        <w:pStyle w:val="EndnoteText"/>
        <w:rPr>
          <w:rFonts w:ascii="Times New Roman" w:hAnsi="Times New Roman"/>
          <w:sz w:val="20"/>
        </w:rPr>
      </w:pPr>
    </w:p>
    <w:p w:rsidR="00233377" w:rsidRPr="00C56C40" w:rsidRDefault="00233377" w:rsidP="00233377">
      <w:pPr>
        <w:spacing w:after="0" w:line="240" w:lineRule="auto"/>
        <w:rPr>
          <w:rFonts w:ascii="Times New Roman" w:hAnsi="Times New Roman"/>
          <w:sz w:val="20"/>
        </w:rPr>
      </w:pPr>
      <w:r w:rsidRPr="00C56C40">
        <w:rPr>
          <w:rFonts w:ascii="Times New Roman" w:hAnsi="Times New Roman"/>
          <w:noProof/>
          <w:sz w:val="20"/>
        </w:rPr>
        <w:t>The United Nations Children Fund (UNICEF). (2012). Strengthening Birth Registration in Africa Opportunities and Partnerships, 1</w:t>
      </w:r>
      <w:r w:rsidR="006C5ECC">
        <w:rPr>
          <w:rFonts w:ascii="Times New Roman" w:hAnsi="Times New Roman"/>
          <w:noProof/>
          <w:sz w:val="20"/>
        </w:rPr>
        <w:t>.</w:t>
      </w:r>
      <w:r w:rsidRPr="00C56C40">
        <w:rPr>
          <w:rFonts w:ascii="Times New Roman" w:hAnsi="Times New Roman"/>
          <w:noProof/>
          <w:sz w:val="20"/>
        </w:rPr>
        <w:t xml:space="preserve">  &lt;</w:t>
      </w:r>
      <w:r w:rsidRPr="0051771B">
        <w:rPr>
          <w:rFonts w:ascii="Times New Roman" w:hAnsi="Times New Roman"/>
          <w:sz w:val="20"/>
        </w:rPr>
        <w:t>http://www.unicef.org/esaro/Technical_paper_low_res_.pdf</w:t>
      </w:r>
      <w:r w:rsidRPr="00C56C40">
        <w:rPr>
          <w:rFonts w:ascii="Times New Roman" w:hAnsi="Times New Roman"/>
          <w:sz w:val="20"/>
        </w:rPr>
        <w: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The United Nations Development Program (UNDP). (2013). Rule of Law and Development Issue Brief: Integrating Rule of Law in the post-2015 Development Framework, 6. &lt;http://www.worldwewant2015.org/node/341332&gt;.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Pr>
          <w:rFonts w:ascii="Times New Roman" w:hAnsi="Times New Roman"/>
          <w:sz w:val="20"/>
        </w:rPr>
        <w:t xml:space="preserve">UNDP Mongolia. (2009). Goal 9: Strengthen Human Rights and Foster Democratic Governance, 88-98. </w:t>
      </w:r>
      <w:r w:rsidRPr="00C56C40">
        <w:rPr>
          <w:rFonts w:ascii="Times New Roman" w:hAnsi="Times New Roman"/>
          <w:sz w:val="20"/>
        </w:rPr>
        <w:t xml:space="preserve"> </w:t>
      </w:r>
      <w:r>
        <w:rPr>
          <w:rFonts w:ascii="Times New Roman" w:hAnsi="Times New Roman"/>
          <w:sz w:val="20"/>
        </w:rPr>
        <w:t>&lt;</w:t>
      </w:r>
      <w:r w:rsidRPr="009F46FC">
        <w:rPr>
          <w:rFonts w:ascii="Times New Roman" w:hAnsi="Times New Roman"/>
          <w:sz w:val="20"/>
        </w:rPr>
        <w:t>http://www.undp.mn/publications/goal9.pdf</w:t>
      </w:r>
      <w:r>
        <w:rPr>
          <w:rFonts w:ascii="Times New Roman" w:hAnsi="Times New Roman"/>
          <w:sz w:val="20"/>
        </w:rPr>
        <w:t>&gt;.</w:t>
      </w:r>
    </w:p>
    <w:p w:rsidR="00233377" w:rsidRPr="00C56C40" w:rsidRDefault="00233377" w:rsidP="00233377">
      <w:pPr>
        <w:spacing w:after="0"/>
        <w:rPr>
          <w:rFonts w:ascii="Times New Roman" w:hAnsi="Times New Roman"/>
          <w:sz w:val="20"/>
        </w:rPr>
      </w:pPr>
    </w:p>
    <w:p w:rsidR="00233377" w:rsidRPr="00C56C40" w:rsidRDefault="00233377" w:rsidP="00233377">
      <w:pPr>
        <w:spacing w:after="0"/>
        <w:rPr>
          <w:rFonts w:ascii="Times New Roman" w:hAnsi="Times New Roman"/>
          <w:sz w:val="20"/>
          <w:szCs w:val="20"/>
        </w:rPr>
      </w:pPr>
      <w:r w:rsidRPr="00C56C40">
        <w:rPr>
          <w:rFonts w:ascii="Times New Roman" w:hAnsi="Times New Roman"/>
          <w:sz w:val="20"/>
        </w:rPr>
        <w:t xml:space="preserve">The UN Refugee Agency (UNHCR). </w:t>
      </w:r>
      <w:proofErr w:type="gramStart"/>
      <w:r w:rsidRPr="00C56C40">
        <w:rPr>
          <w:rFonts w:ascii="Times New Roman" w:hAnsi="Times New Roman"/>
          <w:sz w:val="20"/>
        </w:rPr>
        <w:t>(2013). Stateless People Figures.</w:t>
      </w:r>
      <w:proofErr w:type="gramEnd"/>
      <w:r w:rsidRPr="00C56C40">
        <w:rPr>
          <w:rFonts w:ascii="Times New Roman" w:hAnsi="Times New Roman"/>
          <w:sz w:val="20"/>
        </w:rPr>
        <w:t xml:space="preserve"> &lt;</w:t>
      </w:r>
      <w:r w:rsidRPr="00C56C40">
        <w:rPr>
          <w:rFonts w:ascii="Times New Roman" w:hAnsi="Times New Roman"/>
          <w:sz w:val="20"/>
          <w:szCs w:val="21"/>
          <w:shd w:val="clear" w:color="auto" w:fill="FFFFFF"/>
        </w:rPr>
        <w:t>http://www.unhcr.org/pages/49c3646c26.html</w:t>
      </w:r>
      <w:r w:rsidRPr="00C56C40">
        <w:rPr>
          <w:rFonts w:ascii="Times New Roman" w:hAnsi="Times New Roman"/>
          <w:sz w:val="20"/>
        </w:rPr>
        <w:t>&gt;.</w:t>
      </w:r>
    </w:p>
    <w:p w:rsidR="00233377" w:rsidRPr="00C56C40" w:rsidRDefault="00233377" w:rsidP="00233377">
      <w:pPr>
        <w:pStyle w:val="EndnoteText"/>
        <w:rPr>
          <w:rStyle w:val="EndnoteReference"/>
          <w:sz w:val="22"/>
          <w:szCs w:val="22"/>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United States Agency for International Development (USAID).</w:t>
      </w:r>
      <w:proofErr w:type="gramEnd"/>
      <w:r w:rsidRPr="00C56C40">
        <w:rPr>
          <w:rFonts w:ascii="Times New Roman" w:hAnsi="Times New Roman"/>
          <w:sz w:val="20"/>
        </w:rPr>
        <w:t xml:space="preserve"> (2005). User’s Manual for the Implementation of the Blueprint for</w:t>
      </w:r>
      <w:r w:rsidR="00A27F30">
        <w:rPr>
          <w:rFonts w:ascii="Times New Roman" w:hAnsi="Times New Roman"/>
          <w:sz w:val="20"/>
        </w:rPr>
        <w:t xml:space="preserve"> Strengthening Property Rights,</w:t>
      </w:r>
      <w:r w:rsidRPr="00C56C40">
        <w:rPr>
          <w:rFonts w:ascii="Times New Roman" w:hAnsi="Times New Roman"/>
          <w:sz w:val="20"/>
        </w:rPr>
        <w:t xml:space="preserve"> 3. &lt;http://www.pinzonhidalgo.com/pinzonhidalgo/manual.pdf&gt;.</w:t>
      </w:r>
    </w:p>
    <w:p w:rsidR="00233377" w:rsidRPr="00C56C40" w:rsidRDefault="00233377" w:rsidP="00233377">
      <w:pPr>
        <w:pStyle w:val="EndnoteText"/>
        <w:rPr>
          <w:rStyle w:val="EndnoteReference"/>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Vleugels</w:t>
      </w:r>
      <w:proofErr w:type="spellEnd"/>
      <w:r w:rsidRPr="00C56C40">
        <w:rPr>
          <w:rFonts w:ascii="Times New Roman" w:hAnsi="Times New Roman"/>
          <w:sz w:val="20"/>
        </w:rPr>
        <w:t xml:space="preserve">, Roger. </w:t>
      </w:r>
      <w:proofErr w:type="gramStart"/>
      <w:r w:rsidRPr="00C56C40">
        <w:rPr>
          <w:rFonts w:ascii="Times New Roman" w:hAnsi="Times New Roman"/>
          <w:sz w:val="20"/>
        </w:rPr>
        <w:t>(2009). List of 90 Countries and Territories with FOI Laws.</w:t>
      </w:r>
      <w:proofErr w:type="gramEnd"/>
      <w:r w:rsidRPr="00C56C40">
        <w:rPr>
          <w:rFonts w:ascii="Times New Roman" w:hAnsi="Times New Roman"/>
          <w:sz w:val="20"/>
        </w:rPr>
        <w:t xml:space="preserve"> </w:t>
      </w:r>
      <w:r>
        <w:rPr>
          <w:rFonts w:ascii="Times New Roman" w:hAnsi="Times New Roman"/>
          <w:i/>
          <w:sz w:val="20"/>
        </w:rPr>
        <w:t>The Fringe Special</w:t>
      </w:r>
      <w:r w:rsidRPr="00C56C40">
        <w:rPr>
          <w:rFonts w:ascii="Times New Roman" w:hAnsi="Times New Roman"/>
          <w:sz w:val="20"/>
        </w:rPr>
        <w:t>, 13-14. &lt;http://right2info.org/resources/publications/Fringe%20Special%20-%2090%20FOIAs%20-%20sep%207%202009.pdf&gt;.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Willis, Matthew. (2010). Indicators used internationally to measure Indigenous Justice Outcomes. </w:t>
      </w:r>
      <w:r w:rsidRPr="00C56C40">
        <w:rPr>
          <w:rFonts w:ascii="Times New Roman" w:hAnsi="Times New Roman"/>
          <w:i/>
          <w:sz w:val="20"/>
        </w:rPr>
        <w:t>Indigenous Justice Clearinghouse</w:t>
      </w:r>
      <w:r w:rsidRPr="00C56C40">
        <w:rPr>
          <w:rFonts w:ascii="Times New Roman" w:hAnsi="Times New Roman"/>
          <w:sz w:val="20"/>
        </w:rPr>
        <w:t xml:space="preserve">, 5. &lt;http://www.indigenousjustice.gov.au/briefs/brief008.pdf&gt;.  Note: Willis suggests that perceptions of each justice institution should be separated and that confidence surveys may be more an indication of prevalent public behaviors than the system itself. </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Wilusz</w:t>
      </w:r>
      <w:proofErr w:type="spellEnd"/>
      <w:r w:rsidRPr="00C56C40">
        <w:rPr>
          <w:rFonts w:ascii="Times New Roman" w:hAnsi="Times New Roman"/>
          <w:sz w:val="20"/>
        </w:rPr>
        <w:t>, Daniel</w:t>
      </w:r>
      <w:r w:rsidR="00A27F30">
        <w:rPr>
          <w:rFonts w:ascii="Times New Roman" w:hAnsi="Times New Roman"/>
          <w:sz w:val="20"/>
        </w:rPr>
        <w:t xml:space="preserve">. </w:t>
      </w:r>
      <w:proofErr w:type="gramStart"/>
      <w:r w:rsidR="00A27F30">
        <w:rPr>
          <w:rFonts w:ascii="Times New Roman" w:hAnsi="Times New Roman"/>
          <w:sz w:val="20"/>
        </w:rPr>
        <w:t xml:space="preserve">(2010). </w:t>
      </w:r>
      <w:r w:rsidRPr="00C56C40">
        <w:rPr>
          <w:rFonts w:ascii="Times New Roman" w:hAnsi="Times New Roman"/>
          <w:sz w:val="20"/>
        </w:rPr>
        <w:t xml:space="preserve">Quantitative Indicators for </w:t>
      </w:r>
      <w:r w:rsidR="00A27F30">
        <w:rPr>
          <w:rFonts w:ascii="Times New Roman" w:hAnsi="Times New Roman"/>
          <w:sz w:val="20"/>
        </w:rPr>
        <w:t>Common Property Tenure Security</w:t>
      </w:r>
      <w:r w:rsidRPr="00C56C40">
        <w:rPr>
          <w:rFonts w:ascii="Times New Roman" w:hAnsi="Times New Roman"/>
          <w:sz w:val="20"/>
        </w:rPr>
        <w:t>.</w:t>
      </w:r>
      <w:proofErr w:type="gramEnd"/>
      <w:r w:rsidRPr="00C56C40">
        <w:rPr>
          <w:rFonts w:ascii="Times New Roman" w:hAnsi="Times New Roman"/>
          <w:sz w:val="20"/>
        </w:rPr>
        <w:t xml:space="preserve"> </w:t>
      </w:r>
      <w:r w:rsidRPr="00C56C40">
        <w:rPr>
          <w:rFonts w:ascii="Times New Roman" w:hAnsi="Times New Roman"/>
          <w:i/>
          <w:sz w:val="20"/>
        </w:rPr>
        <w:t>International Land Coalition (ILC) and Collective Action and Property Rights (</w:t>
      </w:r>
      <w:proofErr w:type="spellStart"/>
      <w:r w:rsidRPr="00C56C40">
        <w:rPr>
          <w:rFonts w:ascii="Times New Roman" w:hAnsi="Times New Roman"/>
          <w:i/>
          <w:sz w:val="20"/>
        </w:rPr>
        <w:t>CAPRi</w:t>
      </w:r>
      <w:proofErr w:type="spellEnd"/>
      <w:r w:rsidR="00A27F30">
        <w:rPr>
          <w:rFonts w:ascii="Times New Roman" w:hAnsi="Times New Roman"/>
          <w:sz w:val="20"/>
        </w:rPr>
        <w:t>),</w:t>
      </w:r>
      <w:r w:rsidRPr="00C56C40">
        <w:rPr>
          <w:rFonts w:ascii="Times New Roman" w:hAnsi="Times New Roman"/>
          <w:sz w:val="20"/>
        </w:rPr>
        <w:t xml:space="preserve"> 43</w:t>
      </w:r>
      <w:r w:rsidR="00A27F30">
        <w:rPr>
          <w:rFonts w:ascii="Times New Roman" w:hAnsi="Times New Roman"/>
          <w:sz w:val="20"/>
        </w:rPr>
        <w:t>.</w:t>
      </w:r>
      <w:r w:rsidRPr="00C56C40">
        <w:rPr>
          <w:rFonts w:ascii="Times New Roman" w:hAnsi="Times New Roman"/>
          <w:sz w:val="20"/>
        </w:rPr>
        <w:t xml:space="preserve"> &lt;http://www.landcoalition.org/sites/default/files/publication/985/web.pdf&gt;.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r w:rsidRPr="00C56C40">
        <w:rPr>
          <w:rFonts w:ascii="Times New Roman" w:hAnsi="Times New Roman"/>
          <w:sz w:val="20"/>
        </w:rPr>
        <w:t xml:space="preserve">World Justice Project. </w:t>
      </w:r>
      <w:proofErr w:type="gramStart"/>
      <w:r w:rsidRPr="00C56C40">
        <w:rPr>
          <w:rFonts w:ascii="Times New Roman" w:hAnsi="Times New Roman"/>
          <w:sz w:val="20"/>
        </w:rPr>
        <w:t>(2012). World Justice Project Index Report 2012, 11.</w:t>
      </w:r>
      <w:proofErr w:type="gramEnd"/>
      <w:r w:rsidRPr="00C56C40">
        <w:rPr>
          <w:rFonts w:ascii="Times New Roman" w:hAnsi="Times New Roman"/>
          <w:sz w:val="20"/>
        </w:rPr>
        <w:t xml:space="preserve"> &lt;</w:t>
      </w:r>
      <w:r w:rsidRPr="0051771B">
        <w:rPr>
          <w:rFonts w:ascii="Times New Roman" w:hAnsi="Times New Roman"/>
          <w:sz w:val="20"/>
        </w:rPr>
        <w:t>http://worldjusticeproject.org/sites/default/files/WJP_Index_Report_2012.pdf</w:t>
      </w:r>
      <w:r w:rsidRPr="00C56C40">
        <w:rPr>
          <w:rFonts w:ascii="Times New Roman" w:hAnsi="Times New Roman"/>
          <w:sz w:val="20"/>
        </w:rPr>
        <w:t>&gt;. Note: WJP sub-factor 7.1 (people are aware of available remedies), sub-factor 7.2 (people can access and afford legal advice and representation), and sub-factor 7.3 (people can access and afford civil courts) from the Index 2011 report have been merged to form sub-factor 7.1 (people have access to affordable civil justice) in the Index 2012 report.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p>
    <w:p w:rsidR="00046CD2" w:rsidRPr="00233377" w:rsidRDefault="00046CD2" w:rsidP="00233377">
      <w:pPr>
        <w:pStyle w:val="EndnoteText"/>
        <w:rPr>
          <w:rFonts w:ascii="Times New Roman" w:hAnsi="Times New Roman"/>
          <w:sz w:val="20"/>
        </w:rPr>
      </w:pPr>
    </w:p>
    <w:sectPr w:rsidR="00046CD2" w:rsidRPr="00233377" w:rsidSect="00D10717">
      <w:headerReference w:type="default" r:id="rId9"/>
      <w:footerReference w:type="default" r:id="rId10"/>
      <w:pgSz w:w="11126" w:h="1440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C3" w:rsidRDefault="00C227C3" w:rsidP="000E3B54">
      <w:pPr>
        <w:spacing w:after="0" w:line="240" w:lineRule="auto"/>
      </w:pPr>
      <w:r>
        <w:separator/>
      </w:r>
    </w:p>
  </w:endnote>
  <w:endnote w:type="continuationSeparator" w:id="0">
    <w:p w:rsidR="00C227C3" w:rsidRDefault="00C227C3" w:rsidP="000E3B54">
      <w:pPr>
        <w:spacing w:after="0" w:line="240" w:lineRule="auto"/>
      </w:pPr>
      <w:r>
        <w:continuationSeparator/>
      </w:r>
    </w:p>
  </w:endnote>
  <w:endnote w:id="1">
    <w:p w:rsidR="0091363C" w:rsidRDefault="0091363C">
      <w:pPr>
        <w:pStyle w:val="EndnoteText"/>
      </w:pPr>
      <w:r>
        <w:rPr>
          <w:rStyle w:val="EndnoteReference"/>
        </w:rPr>
        <w:endnoteRef/>
      </w:r>
      <w:r>
        <w:t xml:space="preserve"> </w:t>
      </w:r>
      <w:r w:rsidRPr="00AF050E">
        <w:rPr>
          <w:rFonts w:ascii="Times New Roman" w:hAnsi="Times New Roman" w:cs="Times New Roman"/>
          <w:sz w:val="18"/>
          <w:szCs w:val="18"/>
          <w:shd w:val="clear" w:color="auto" w:fill="FFFFFF"/>
        </w:rPr>
        <w:t>We describe the rationale for these targets in light of criteria adopted at a recent OHCHR-UNDP consultation on measuring governance and human rights</w:t>
      </w:r>
      <w:r w:rsidRPr="00AF050E">
        <w:rPr>
          <w:rFonts w:ascii="Times New Roman" w:hAnsi="Times New Roman" w:cs="Times New Roman"/>
          <w:sz w:val="18"/>
          <w:szCs w:val="18"/>
        </w:rPr>
        <w:t xml:space="preserve">. See </w:t>
      </w:r>
      <w:hyperlink r:id="rId1" w:tgtFrame="_blank" w:history="1">
        <w:r w:rsidRPr="00AF050E">
          <w:rPr>
            <w:rStyle w:val="Hyperlink"/>
            <w:rFonts w:ascii="Times New Roman" w:hAnsi="Times New Roman" w:cs="Times New Roman"/>
            <w:color w:val="auto"/>
            <w:sz w:val="18"/>
            <w:szCs w:val="18"/>
            <w:shd w:val="clear" w:color="auto" w:fill="FFFFFF"/>
          </w:rPr>
          <w:t>http://www.worldwewant2015.org/node/277879</w:t>
        </w:r>
      </w:hyperlink>
      <w:r w:rsidRPr="00AF050E">
        <w:rPr>
          <w:rFonts w:ascii="Times New Roman" w:hAnsi="Times New Roman" w:cs="Times New Roman"/>
          <w:sz w:val="18"/>
          <w:szCs w:val="18"/>
          <w:shd w:val="clear" w:color="auto" w:fill="FFFFFF"/>
        </w:rPr>
        <w:t xml:space="preserve">.  See also Langford, </w:t>
      </w:r>
      <w:r>
        <w:rPr>
          <w:rFonts w:ascii="Times New Roman" w:hAnsi="Times New Roman" w:cs="Times New Roman"/>
          <w:sz w:val="18"/>
          <w:szCs w:val="18"/>
          <w:shd w:val="clear" w:color="auto" w:fill="FFFFFF"/>
        </w:rPr>
        <w:t xml:space="preserve">M. (2012). </w:t>
      </w:r>
      <w:r w:rsidRPr="00AF050E">
        <w:rPr>
          <w:rFonts w:ascii="Times New Roman" w:hAnsi="Times New Roman" w:cs="Times New Roman"/>
          <w:sz w:val="18"/>
          <w:szCs w:val="18"/>
          <w:shd w:val="clear" w:color="auto" w:fill="FFFFFF"/>
        </w:rPr>
        <w:t>The Art of the Impossible: Measurement Choices and th</w:t>
      </w:r>
      <w:r>
        <w:rPr>
          <w:rFonts w:ascii="Times New Roman" w:hAnsi="Times New Roman" w:cs="Times New Roman"/>
          <w:sz w:val="18"/>
          <w:szCs w:val="18"/>
          <w:shd w:val="clear" w:color="auto" w:fill="FFFFFF"/>
        </w:rPr>
        <w:t>e Post-2015 Development Agenda.</w:t>
      </w:r>
      <w:r w:rsidRPr="00AF050E">
        <w:rPr>
          <w:rFonts w:ascii="Times New Roman" w:hAnsi="Times New Roman" w:cs="Times New Roman"/>
          <w:sz w:val="18"/>
          <w:szCs w:val="18"/>
          <w:shd w:val="clear" w:color="auto" w:fill="FFFFFF"/>
        </w:rPr>
        <w:t xml:space="preserve"> </w:t>
      </w:r>
      <w:proofErr w:type="gramStart"/>
      <w:r w:rsidRPr="00AF050E">
        <w:rPr>
          <w:rFonts w:ascii="Times New Roman" w:hAnsi="Times New Roman" w:cs="Times New Roman"/>
          <w:i/>
          <w:sz w:val="18"/>
          <w:szCs w:val="18"/>
          <w:shd w:val="clear" w:color="auto" w:fill="FFFFFF"/>
        </w:rPr>
        <w:t>United Nations Sustainable Development Knowledge Platform</w:t>
      </w:r>
      <w:r>
        <w:rPr>
          <w:rFonts w:ascii="Times New Roman" w:hAnsi="Times New Roman" w:cs="Times New Roman"/>
          <w:i/>
          <w:sz w:val="18"/>
          <w:szCs w:val="18"/>
          <w:shd w:val="clear" w:color="auto" w:fill="FFFFFF"/>
        </w:rPr>
        <w:t>.</w:t>
      </w:r>
      <w:proofErr w:type="gramEnd"/>
    </w:p>
  </w:endnote>
  <w:endnote w:id="2">
    <w:p w:rsidR="0091363C" w:rsidRPr="00254773" w:rsidRDefault="0091363C">
      <w:pPr>
        <w:pStyle w:val="EndnoteText"/>
        <w:rPr>
          <w:rFonts w:ascii="Times New Roman" w:hAnsi="Times New Roman"/>
          <w:sz w:val="18"/>
        </w:rPr>
      </w:pPr>
      <w:r w:rsidRPr="00254773">
        <w:rPr>
          <w:rStyle w:val="EndnoteReference"/>
          <w:rFonts w:ascii="Times New Roman" w:hAnsi="Times New Roman"/>
          <w:sz w:val="18"/>
        </w:rPr>
        <w:endnoteRef/>
      </w:r>
      <w:r w:rsidRPr="00254773">
        <w:rPr>
          <w:rFonts w:ascii="Times New Roman" w:hAnsi="Times New Roman"/>
          <w:sz w:val="18"/>
        </w:rPr>
        <w:t xml:space="preserve"> </w:t>
      </w:r>
      <w:proofErr w:type="gramStart"/>
      <w:r w:rsidRPr="00254773">
        <w:rPr>
          <w:rFonts w:ascii="Times New Roman" w:hAnsi="Times New Roman" w:cs="Times New Roman"/>
          <w:sz w:val="18"/>
          <w:szCs w:val="18"/>
        </w:rPr>
        <w:t>Based on consultation</w:t>
      </w:r>
      <w:r>
        <w:rPr>
          <w:rFonts w:ascii="Times New Roman" w:hAnsi="Times New Roman" w:cs="Times New Roman"/>
          <w:sz w:val="18"/>
          <w:szCs w:val="18"/>
        </w:rPr>
        <w:t>s with the Open Society Justice Initiative</w:t>
      </w:r>
      <w:r w:rsidRPr="00254773">
        <w:rPr>
          <w:rFonts w:ascii="Times New Roman" w:hAnsi="Times New Roman" w:cs="Times New Roman"/>
          <w:sz w:val="18"/>
          <w:szCs w:val="18"/>
        </w:rPr>
        <w:t>, 2013.</w:t>
      </w:r>
      <w:proofErr w:type="gramEnd"/>
    </w:p>
  </w:endnote>
  <w:endnote w:id="3">
    <w:p w:rsidR="0091363C" w:rsidRPr="00254773" w:rsidRDefault="0091363C">
      <w:pPr>
        <w:pStyle w:val="EndnoteText"/>
        <w:rPr>
          <w:rFonts w:ascii="Times New Roman" w:hAnsi="Times New Roman"/>
          <w:sz w:val="18"/>
        </w:rPr>
      </w:pPr>
      <w:r w:rsidRPr="00254773">
        <w:rPr>
          <w:rStyle w:val="EndnoteReference"/>
          <w:rFonts w:ascii="Times New Roman" w:hAnsi="Times New Roman"/>
          <w:sz w:val="18"/>
        </w:rPr>
        <w:endnoteRef/>
      </w:r>
      <w:r w:rsidRPr="00254773">
        <w:rPr>
          <w:rFonts w:ascii="Times New Roman" w:hAnsi="Times New Roman"/>
          <w:sz w:val="18"/>
        </w:rPr>
        <w:t xml:space="preserve"> </w:t>
      </w:r>
      <w:r w:rsidRPr="00254773">
        <w:rPr>
          <w:rFonts w:ascii="Times New Roman" w:hAnsi="Times New Roman" w:cs="Times New Roman"/>
          <w:sz w:val="18"/>
          <w:szCs w:val="18"/>
        </w:rPr>
        <w:t>Almeida,</w:t>
      </w:r>
      <w:r>
        <w:rPr>
          <w:rFonts w:ascii="Times New Roman" w:hAnsi="Times New Roman" w:cs="Times New Roman"/>
          <w:sz w:val="18"/>
          <w:szCs w:val="18"/>
        </w:rPr>
        <w:t xml:space="preserve"> Fernanda and Jeffrey Hatcher. (2011). </w:t>
      </w:r>
      <w:r w:rsidRPr="00254773">
        <w:rPr>
          <w:rFonts w:ascii="Times New Roman" w:hAnsi="Times New Roman" w:cs="Times New Roman"/>
          <w:sz w:val="18"/>
          <w:szCs w:val="18"/>
        </w:rPr>
        <w:t xml:space="preserve">Measuring the Depth of Indigenous Peoples and Community Forest Tenure: Preliminary Findings from a Legal Analysis of 33 Forest </w:t>
      </w:r>
      <w:r>
        <w:rPr>
          <w:rFonts w:ascii="Times New Roman" w:hAnsi="Times New Roman" w:cs="Times New Roman"/>
          <w:sz w:val="18"/>
          <w:szCs w:val="18"/>
        </w:rPr>
        <w:t>Tenure Regimes in 15 Countries.</w:t>
      </w:r>
      <w:r w:rsidRPr="00254773">
        <w:rPr>
          <w:rFonts w:ascii="Times New Roman" w:hAnsi="Times New Roman" w:cs="Times New Roman"/>
          <w:sz w:val="18"/>
          <w:szCs w:val="18"/>
        </w:rPr>
        <w:t xml:space="preserve"> </w:t>
      </w:r>
      <w:proofErr w:type="gramStart"/>
      <w:r w:rsidRPr="0056044E">
        <w:rPr>
          <w:rFonts w:ascii="Times New Roman" w:hAnsi="Times New Roman" w:cs="Times New Roman"/>
          <w:i/>
          <w:sz w:val="18"/>
          <w:szCs w:val="18"/>
        </w:rPr>
        <w:t>Rights and Resources Institute</w:t>
      </w:r>
      <w:r w:rsidRPr="00254773">
        <w:rPr>
          <w:rFonts w:ascii="Times New Roman" w:hAnsi="Times New Roman" w:cs="Times New Roman"/>
          <w:sz w:val="18"/>
          <w:szCs w:val="18"/>
        </w:rPr>
        <w:t xml:space="preserve">, </w:t>
      </w:r>
      <w:r>
        <w:rPr>
          <w:rFonts w:ascii="Times New Roman" w:hAnsi="Times New Roman" w:cs="Times New Roman"/>
          <w:sz w:val="18"/>
          <w:szCs w:val="18"/>
        </w:rPr>
        <w:t>8.</w:t>
      </w:r>
      <w:proofErr w:type="gramEnd"/>
      <w:r w:rsidRPr="00254773">
        <w:rPr>
          <w:rFonts w:ascii="Times New Roman" w:hAnsi="Times New Roman" w:cs="Times New Roman"/>
          <w:sz w:val="18"/>
          <w:szCs w:val="18"/>
        </w:rPr>
        <w:t xml:space="preserve"> &lt;http://www.rightsandresources.org/documents/files/doc_2493.pdf&gt;. </w:t>
      </w:r>
    </w:p>
  </w:endnote>
  <w:endnote w:id="4">
    <w:p w:rsidR="0091363C" w:rsidRPr="00254773" w:rsidRDefault="0091363C" w:rsidP="006D29AC">
      <w:pPr>
        <w:pStyle w:val="EndnoteText"/>
        <w:rPr>
          <w:rFonts w:ascii="Times New Roman" w:hAnsi="Times New Roman" w:cs="Times New Roman"/>
          <w:sz w:val="18"/>
          <w:szCs w:val="18"/>
        </w:rPr>
      </w:pPr>
      <w:r w:rsidRPr="00254773">
        <w:rPr>
          <w:rStyle w:val="EndnoteReference"/>
          <w:rFonts w:ascii="Times New Roman" w:hAnsi="Times New Roman"/>
          <w:sz w:val="18"/>
        </w:rPr>
        <w:endnoteRef/>
      </w:r>
      <w:r w:rsidRPr="00254773">
        <w:rPr>
          <w:rFonts w:ascii="Times New Roman" w:hAnsi="Times New Roman"/>
          <w:sz w:val="18"/>
        </w:rPr>
        <w:t xml:space="preserve"> </w:t>
      </w:r>
      <w:r w:rsidRPr="00254773">
        <w:rPr>
          <w:rFonts w:ascii="Times New Roman" w:hAnsi="Times New Roman" w:cs="Times New Roman"/>
          <w:sz w:val="18"/>
          <w:szCs w:val="18"/>
        </w:rPr>
        <w:t>See Knight et al, 2012.</w:t>
      </w:r>
    </w:p>
  </w:endnote>
  <w:endnote w:id="5">
    <w:p w:rsidR="0091363C" w:rsidRPr="00254773" w:rsidRDefault="0091363C">
      <w:pPr>
        <w:pStyle w:val="EndnoteText"/>
        <w:rPr>
          <w:rFonts w:ascii="Times New Roman" w:hAnsi="Times New Roman"/>
          <w:sz w:val="18"/>
        </w:rPr>
      </w:pPr>
      <w:r w:rsidRPr="00254773">
        <w:rPr>
          <w:rStyle w:val="EndnoteReference"/>
          <w:rFonts w:ascii="Times New Roman" w:hAnsi="Times New Roman"/>
          <w:sz w:val="18"/>
        </w:rPr>
        <w:endnoteRef/>
      </w:r>
      <w:r>
        <w:rPr>
          <w:rFonts w:ascii="Times New Roman" w:hAnsi="Times New Roman"/>
          <w:sz w:val="18"/>
        </w:rPr>
        <w:t xml:space="preserve"> </w:t>
      </w:r>
      <w:r w:rsidRPr="00144B74">
        <w:rPr>
          <w:rFonts w:ascii="Times New Roman" w:hAnsi="Times New Roman"/>
          <w:i/>
          <w:sz w:val="18"/>
        </w:rPr>
        <w:t xml:space="preserve">Ibid.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3C" w:rsidRDefault="0091363C" w:rsidP="00C94844">
    <w:pPr>
      <w:pStyle w:val="Footer"/>
      <w:jc w:val="right"/>
    </w:pPr>
    <w:r>
      <w:rPr>
        <w:rStyle w:val="PageNumber"/>
      </w:rPr>
      <w:fldChar w:fldCharType="begin"/>
    </w:r>
    <w:r>
      <w:rPr>
        <w:rStyle w:val="PageNumber"/>
      </w:rPr>
      <w:instrText xml:space="preserve"> PAGE </w:instrText>
    </w:r>
    <w:r>
      <w:rPr>
        <w:rStyle w:val="PageNumber"/>
      </w:rPr>
      <w:fldChar w:fldCharType="separate"/>
    </w:r>
    <w:r w:rsidR="00821B8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C3" w:rsidRDefault="00C227C3" w:rsidP="000E3B54">
      <w:pPr>
        <w:spacing w:after="0" w:line="240" w:lineRule="auto"/>
      </w:pPr>
      <w:r>
        <w:separator/>
      </w:r>
    </w:p>
  </w:footnote>
  <w:footnote w:type="continuationSeparator" w:id="0">
    <w:p w:rsidR="00C227C3" w:rsidRDefault="00C227C3" w:rsidP="000E3B54">
      <w:pPr>
        <w:spacing w:after="0" w:line="240" w:lineRule="auto"/>
      </w:pPr>
      <w:r>
        <w:continuationSeparator/>
      </w:r>
    </w:p>
  </w:footnote>
  <w:footnote w:type="continuationNotice" w:id="1">
    <w:p w:rsidR="00C227C3" w:rsidRDefault="00C227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3C" w:rsidRDefault="0091363C" w:rsidP="00D10717">
    <w:pPr>
      <w:pStyle w:val="Header"/>
      <w:jc w:val="center"/>
    </w:pPr>
    <w:r>
      <w:rPr>
        <w:noProof/>
        <w:lang w:val="en-GB" w:eastAsia="en-GB"/>
      </w:rPr>
      <w:drawing>
        <wp:inline distT="0" distB="0" distL="0" distR="0">
          <wp:extent cx="1679890" cy="38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ti_logo_400px.gif"/>
                  <pic:cNvPicPr/>
                </pic:nvPicPr>
                <pic:blipFill>
                  <a:blip r:embed="rId1">
                    <a:extLst>
                      <a:ext uri="{28A0092B-C50C-407E-A947-70E740481C1C}">
                        <a14:useLocalDpi xmlns:a14="http://schemas.microsoft.com/office/drawing/2010/main" val="0"/>
                      </a:ext>
                    </a:extLst>
                  </a:blip>
                  <a:stretch>
                    <a:fillRect/>
                  </a:stretch>
                </pic:blipFill>
                <pic:spPr>
                  <a:xfrm>
                    <a:off x="0" y="0"/>
                    <a:ext cx="1681017" cy="38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0AEA"/>
    <w:multiLevelType w:val="hybridMultilevel"/>
    <w:tmpl w:val="BF769586"/>
    <w:lvl w:ilvl="0" w:tplc="65780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40ED6"/>
    <w:multiLevelType w:val="hybridMultilevel"/>
    <w:tmpl w:val="BE4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0843"/>
    <w:multiLevelType w:val="hybridMultilevel"/>
    <w:tmpl w:val="E73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A3DFF"/>
    <w:multiLevelType w:val="hybridMultilevel"/>
    <w:tmpl w:val="A05A113C"/>
    <w:lvl w:ilvl="0" w:tplc="65780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33E03"/>
    <w:multiLevelType w:val="hybridMultilevel"/>
    <w:tmpl w:val="6ECE54C8"/>
    <w:lvl w:ilvl="0" w:tplc="608A1E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2E"/>
    <w:rsid w:val="00000432"/>
    <w:rsid w:val="00017384"/>
    <w:rsid w:val="000203CD"/>
    <w:rsid w:val="00021AC9"/>
    <w:rsid w:val="0003773A"/>
    <w:rsid w:val="00043E7C"/>
    <w:rsid w:val="00046CD2"/>
    <w:rsid w:val="00056041"/>
    <w:rsid w:val="000620F9"/>
    <w:rsid w:val="000711FB"/>
    <w:rsid w:val="00072958"/>
    <w:rsid w:val="00076154"/>
    <w:rsid w:val="0008154C"/>
    <w:rsid w:val="00082308"/>
    <w:rsid w:val="00083D32"/>
    <w:rsid w:val="00085387"/>
    <w:rsid w:val="00086698"/>
    <w:rsid w:val="00091D3A"/>
    <w:rsid w:val="000B123C"/>
    <w:rsid w:val="000C4A0E"/>
    <w:rsid w:val="000D1FE5"/>
    <w:rsid w:val="000D494A"/>
    <w:rsid w:val="000E09F2"/>
    <w:rsid w:val="000E3B54"/>
    <w:rsid w:val="000F00AF"/>
    <w:rsid w:val="00121929"/>
    <w:rsid w:val="00123704"/>
    <w:rsid w:val="0014277C"/>
    <w:rsid w:val="00144B74"/>
    <w:rsid w:val="001476A6"/>
    <w:rsid w:val="00161674"/>
    <w:rsid w:val="00166911"/>
    <w:rsid w:val="00177B20"/>
    <w:rsid w:val="0018170D"/>
    <w:rsid w:val="00181B34"/>
    <w:rsid w:val="001902D6"/>
    <w:rsid w:val="001A19EC"/>
    <w:rsid w:val="001A1B44"/>
    <w:rsid w:val="001A1CE0"/>
    <w:rsid w:val="001A46BB"/>
    <w:rsid w:val="001A572B"/>
    <w:rsid w:val="001A7909"/>
    <w:rsid w:val="001C5C5F"/>
    <w:rsid w:val="001D4D3E"/>
    <w:rsid w:val="001D602A"/>
    <w:rsid w:val="001E5417"/>
    <w:rsid w:val="001E6B39"/>
    <w:rsid w:val="001F3FC8"/>
    <w:rsid w:val="0020513B"/>
    <w:rsid w:val="00217E7F"/>
    <w:rsid w:val="00224B31"/>
    <w:rsid w:val="002304F4"/>
    <w:rsid w:val="00233377"/>
    <w:rsid w:val="00233840"/>
    <w:rsid w:val="00235BE6"/>
    <w:rsid w:val="0023709A"/>
    <w:rsid w:val="00245567"/>
    <w:rsid w:val="002528CC"/>
    <w:rsid w:val="00253680"/>
    <w:rsid w:val="00254773"/>
    <w:rsid w:val="00255022"/>
    <w:rsid w:val="00272994"/>
    <w:rsid w:val="00273B13"/>
    <w:rsid w:val="00282C2A"/>
    <w:rsid w:val="002A0284"/>
    <w:rsid w:val="002A492F"/>
    <w:rsid w:val="002C1379"/>
    <w:rsid w:val="002D16DD"/>
    <w:rsid w:val="002D5211"/>
    <w:rsid w:val="002D7DAE"/>
    <w:rsid w:val="002E409C"/>
    <w:rsid w:val="002F4416"/>
    <w:rsid w:val="00322B23"/>
    <w:rsid w:val="00324438"/>
    <w:rsid w:val="0033329B"/>
    <w:rsid w:val="0034173B"/>
    <w:rsid w:val="0034430C"/>
    <w:rsid w:val="00350DFE"/>
    <w:rsid w:val="003632CC"/>
    <w:rsid w:val="00381EB7"/>
    <w:rsid w:val="00386E08"/>
    <w:rsid w:val="0039119A"/>
    <w:rsid w:val="003A1B8A"/>
    <w:rsid w:val="003A3920"/>
    <w:rsid w:val="003B5D84"/>
    <w:rsid w:val="003B66BA"/>
    <w:rsid w:val="003C5AFB"/>
    <w:rsid w:val="003D60B3"/>
    <w:rsid w:val="003E1099"/>
    <w:rsid w:val="003F222C"/>
    <w:rsid w:val="004112FD"/>
    <w:rsid w:val="00411D2D"/>
    <w:rsid w:val="004164B4"/>
    <w:rsid w:val="00416F69"/>
    <w:rsid w:val="00440ED5"/>
    <w:rsid w:val="00442432"/>
    <w:rsid w:val="00442573"/>
    <w:rsid w:val="004462E3"/>
    <w:rsid w:val="004471DB"/>
    <w:rsid w:val="004539B3"/>
    <w:rsid w:val="00462103"/>
    <w:rsid w:val="004639A0"/>
    <w:rsid w:val="0046623F"/>
    <w:rsid w:val="00473AEC"/>
    <w:rsid w:val="00476DBF"/>
    <w:rsid w:val="004805FF"/>
    <w:rsid w:val="004814B1"/>
    <w:rsid w:val="00484969"/>
    <w:rsid w:val="004861DE"/>
    <w:rsid w:val="00491EF8"/>
    <w:rsid w:val="004A1A83"/>
    <w:rsid w:val="004A472E"/>
    <w:rsid w:val="004B4653"/>
    <w:rsid w:val="004D1AED"/>
    <w:rsid w:val="004D25C5"/>
    <w:rsid w:val="004D52DF"/>
    <w:rsid w:val="004D7218"/>
    <w:rsid w:val="004E204F"/>
    <w:rsid w:val="00500C9F"/>
    <w:rsid w:val="00506B50"/>
    <w:rsid w:val="00507907"/>
    <w:rsid w:val="00511BF7"/>
    <w:rsid w:val="00512792"/>
    <w:rsid w:val="00515262"/>
    <w:rsid w:val="0051771B"/>
    <w:rsid w:val="00521163"/>
    <w:rsid w:val="00521A6E"/>
    <w:rsid w:val="00526118"/>
    <w:rsid w:val="00526159"/>
    <w:rsid w:val="00534C48"/>
    <w:rsid w:val="00537B49"/>
    <w:rsid w:val="00547AEE"/>
    <w:rsid w:val="00550173"/>
    <w:rsid w:val="0055199C"/>
    <w:rsid w:val="00553D6A"/>
    <w:rsid w:val="00560242"/>
    <w:rsid w:val="0056044E"/>
    <w:rsid w:val="005638CF"/>
    <w:rsid w:val="0056599B"/>
    <w:rsid w:val="00594944"/>
    <w:rsid w:val="005961B0"/>
    <w:rsid w:val="00596DD8"/>
    <w:rsid w:val="00597035"/>
    <w:rsid w:val="005B60B9"/>
    <w:rsid w:val="005B6C5F"/>
    <w:rsid w:val="005C1B9B"/>
    <w:rsid w:val="005C3C93"/>
    <w:rsid w:val="005D0E1F"/>
    <w:rsid w:val="005D33BD"/>
    <w:rsid w:val="005E5DA4"/>
    <w:rsid w:val="005F31AB"/>
    <w:rsid w:val="005F33D1"/>
    <w:rsid w:val="0060064E"/>
    <w:rsid w:val="006008E4"/>
    <w:rsid w:val="00600E3E"/>
    <w:rsid w:val="00615368"/>
    <w:rsid w:val="006178A2"/>
    <w:rsid w:val="0062001B"/>
    <w:rsid w:val="00624D00"/>
    <w:rsid w:val="00633C0F"/>
    <w:rsid w:val="00633C9A"/>
    <w:rsid w:val="00634D87"/>
    <w:rsid w:val="0064051C"/>
    <w:rsid w:val="00645F62"/>
    <w:rsid w:val="00646D47"/>
    <w:rsid w:val="00663C56"/>
    <w:rsid w:val="006761B6"/>
    <w:rsid w:val="00681A7B"/>
    <w:rsid w:val="00686CD8"/>
    <w:rsid w:val="00686F6D"/>
    <w:rsid w:val="00694046"/>
    <w:rsid w:val="006A1902"/>
    <w:rsid w:val="006A3078"/>
    <w:rsid w:val="006A5819"/>
    <w:rsid w:val="006B217C"/>
    <w:rsid w:val="006B7AA2"/>
    <w:rsid w:val="006C2B11"/>
    <w:rsid w:val="006C5ECC"/>
    <w:rsid w:val="006C7730"/>
    <w:rsid w:val="006D1D77"/>
    <w:rsid w:val="006D29AC"/>
    <w:rsid w:val="006E02D4"/>
    <w:rsid w:val="006E0A6C"/>
    <w:rsid w:val="006E134B"/>
    <w:rsid w:val="006E3B6C"/>
    <w:rsid w:val="006E64F1"/>
    <w:rsid w:val="006F1063"/>
    <w:rsid w:val="006F496C"/>
    <w:rsid w:val="006F5538"/>
    <w:rsid w:val="00701C14"/>
    <w:rsid w:val="00704A9D"/>
    <w:rsid w:val="00710502"/>
    <w:rsid w:val="00715581"/>
    <w:rsid w:val="00727CA7"/>
    <w:rsid w:val="00732861"/>
    <w:rsid w:val="00735DDE"/>
    <w:rsid w:val="007532E0"/>
    <w:rsid w:val="00761620"/>
    <w:rsid w:val="007618BE"/>
    <w:rsid w:val="00761B13"/>
    <w:rsid w:val="00764D1F"/>
    <w:rsid w:val="00770FFD"/>
    <w:rsid w:val="00771B86"/>
    <w:rsid w:val="007726DD"/>
    <w:rsid w:val="00775ABF"/>
    <w:rsid w:val="0077754E"/>
    <w:rsid w:val="007870EE"/>
    <w:rsid w:val="00792276"/>
    <w:rsid w:val="007A732B"/>
    <w:rsid w:val="007B2C74"/>
    <w:rsid w:val="007B7136"/>
    <w:rsid w:val="007C2290"/>
    <w:rsid w:val="007E1400"/>
    <w:rsid w:val="007E18DD"/>
    <w:rsid w:val="007E226D"/>
    <w:rsid w:val="007E6C03"/>
    <w:rsid w:val="007E7456"/>
    <w:rsid w:val="007F489B"/>
    <w:rsid w:val="007F66DE"/>
    <w:rsid w:val="00800384"/>
    <w:rsid w:val="0080333A"/>
    <w:rsid w:val="0080774F"/>
    <w:rsid w:val="00820997"/>
    <w:rsid w:val="008212DD"/>
    <w:rsid w:val="00821B81"/>
    <w:rsid w:val="00824D7F"/>
    <w:rsid w:val="008319F7"/>
    <w:rsid w:val="008356D2"/>
    <w:rsid w:val="00842173"/>
    <w:rsid w:val="00846ED0"/>
    <w:rsid w:val="00854BB7"/>
    <w:rsid w:val="008841E2"/>
    <w:rsid w:val="00887991"/>
    <w:rsid w:val="0089304E"/>
    <w:rsid w:val="00896358"/>
    <w:rsid w:val="00896992"/>
    <w:rsid w:val="008A32CD"/>
    <w:rsid w:val="008B0CDA"/>
    <w:rsid w:val="008B18D5"/>
    <w:rsid w:val="008B5662"/>
    <w:rsid w:val="008B5952"/>
    <w:rsid w:val="008B709F"/>
    <w:rsid w:val="008C255D"/>
    <w:rsid w:val="008C46DD"/>
    <w:rsid w:val="008C4F3A"/>
    <w:rsid w:val="008C6B26"/>
    <w:rsid w:val="008D0409"/>
    <w:rsid w:val="008D37A7"/>
    <w:rsid w:val="008D459F"/>
    <w:rsid w:val="008E23F0"/>
    <w:rsid w:val="008E5A47"/>
    <w:rsid w:val="008E7D8C"/>
    <w:rsid w:val="008F6BD8"/>
    <w:rsid w:val="00910879"/>
    <w:rsid w:val="0091363C"/>
    <w:rsid w:val="009175B3"/>
    <w:rsid w:val="00927479"/>
    <w:rsid w:val="00933263"/>
    <w:rsid w:val="009354C7"/>
    <w:rsid w:val="00943E43"/>
    <w:rsid w:val="00966671"/>
    <w:rsid w:val="0096670E"/>
    <w:rsid w:val="00970D04"/>
    <w:rsid w:val="0097436A"/>
    <w:rsid w:val="0098396F"/>
    <w:rsid w:val="009A120E"/>
    <w:rsid w:val="009A736C"/>
    <w:rsid w:val="009B097B"/>
    <w:rsid w:val="009C0E6C"/>
    <w:rsid w:val="009C2322"/>
    <w:rsid w:val="009C7BB9"/>
    <w:rsid w:val="009D03CE"/>
    <w:rsid w:val="009F46FA"/>
    <w:rsid w:val="00A14EC7"/>
    <w:rsid w:val="00A202A7"/>
    <w:rsid w:val="00A27F30"/>
    <w:rsid w:val="00A31E9F"/>
    <w:rsid w:val="00A36625"/>
    <w:rsid w:val="00A41494"/>
    <w:rsid w:val="00A435D4"/>
    <w:rsid w:val="00A44BF2"/>
    <w:rsid w:val="00A657EA"/>
    <w:rsid w:val="00A66908"/>
    <w:rsid w:val="00A66A93"/>
    <w:rsid w:val="00A82E8B"/>
    <w:rsid w:val="00A92519"/>
    <w:rsid w:val="00A939DF"/>
    <w:rsid w:val="00A95319"/>
    <w:rsid w:val="00A967A0"/>
    <w:rsid w:val="00AA29CC"/>
    <w:rsid w:val="00AB1313"/>
    <w:rsid w:val="00AB4857"/>
    <w:rsid w:val="00AB4DE1"/>
    <w:rsid w:val="00AB5BF3"/>
    <w:rsid w:val="00AC3E5D"/>
    <w:rsid w:val="00AC6B4B"/>
    <w:rsid w:val="00AE17F8"/>
    <w:rsid w:val="00AE1E15"/>
    <w:rsid w:val="00AE3B72"/>
    <w:rsid w:val="00AE3B8F"/>
    <w:rsid w:val="00AE7594"/>
    <w:rsid w:val="00AF16AF"/>
    <w:rsid w:val="00AF4FFC"/>
    <w:rsid w:val="00AF6F3D"/>
    <w:rsid w:val="00B057E0"/>
    <w:rsid w:val="00B05DFA"/>
    <w:rsid w:val="00B117DD"/>
    <w:rsid w:val="00B159DE"/>
    <w:rsid w:val="00B21C16"/>
    <w:rsid w:val="00B40734"/>
    <w:rsid w:val="00B47FA7"/>
    <w:rsid w:val="00B51A86"/>
    <w:rsid w:val="00B60270"/>
    <w:rsid w:val="00B66A20"/>
    <w:rsid w:val="00B71670"/>
    <w:rsid w:val="00B7578F"/>
    <w:rsid w:val="00B81CF8"/>
    <w:rsid w:val="00B81FB8"/>
    <w:rsid w:val="00B83DFA"/>
    <w:rsid w:val="00B840DE"/>
    <w:rsid w:val="00BA48D7"/>
    <w:rsid w:val="00BA6A5D"/>
    <w:rsid w:val="00BA7A1C"/>
    <w:rsid w:val="00BC3EC6"/>
    <w:rsid w:val="00BC4FAC"/>
    <w:rsid w:val="00BD0AD7"/>
    <w:rsid w:val="00BE1F3E"/>
    <w:rsid w:val="00BF7818"/>
    <w:rsid w:val="00C020BC"/>
    <w:rsid w:val="00C05056"/>
    <w:rsid w:val="00C078C0"/>
    <w:rsid w:val="00C15A05"/>
    <w:rsid w:val="00C201D4"/>
    <w:rsid w:val="00C221CC"/>
    <w:rsid w:val="00C227C3"/>
    <w:rsid w:val="00C23180"/>
    <w:rsid w:val="00C31572"/>
    <w:rsid w:val="00C36759"/>
    <w:rsid w:val="00C36AC9"/>
    <w:rsid w:val="00C41478"/>
    <w:rsid w:val="00C44CD8"/>
    <w:rsid w:val="00C460D5"/>
    <w:rsid w:val="00C50728"/>
    <w:rsid w:val="00C538D7"/>
    <w:rsid w:val="00C70CAE"/>
    <w:rsid w:val="00C72E6A"/>
    <w:rsid w:val="00C81947"/>
    <w:rsid w:val="00C83FD6"/>
    <w:rsid w:val="00C84BEE"/>
    <w:rsid w:val="00C91331"/>
    <w:rsid w:val="00C9443C"/>
    <w:rsid w:val="00C94844"/>
    <w:rsid w:val="00C95C79"/>
    <w:rsid w:val="00CA0BDC"/>
    <w:rsid w:val="00CC0296"/>
    <w:rsid w:val="00CC1464"/>
    <w:rsid w:val="00CC260F"/>
    <w:rsid w:val="00CD56FD"/>
    <w:rsid w:val="00D10717"/>
    <w:rsid w:val="00D15B31"/>
    <w:rsid w:val="00D16C2B"/>
    <w:rsid w:val="00D20F9A"/>
    <w:rsid w:val="00D32A66"/>
    <w:rsid w:val="00D37646"/>
    <w:rsid w:val="00D40991"/>
    <w:rsid w:val="00D4135B"/>
    <w:rsid w:val="00D420A4"/>
    <w:rsid w:val="00D54D42"/>
    <w:rsid w:val="00D6779C"/>
    <w:rsid w:val="00D71C43"/>
    <w:rsid w:val="00D74257"/>
    <w:rsid w:val="00D771D3"/>
    <w:rsid w:val="00D808F9"/>
    <w:rsid w:val="00D82F96"/>
    <w:rsid w:val="00D87DA8"/>
    <w:rsid w:val="00DA62A2"/>
    <w:rsid w:val="00DB2AC9"/>
    <w:rsid w:val="00DB430E"/>
    <w:rsid w:val="00DB63DE"/>
    <w:rsid w:val="00DB66B0"/>
    <w:rsid w:val="00DB72A8"/>
    <w:rsid w:val="00DB77BA"/>
    <w:rsid w:val="00DE400C"/>
    <w:rsid w:val="00DF3A9C"/>
    <w:rsid w:val="00DF5DAB"/>
    <w:rsid w:val="00DF622D"/>
    <w:rsid w:val="00E04CA7"/>
    <w:rsid w:val="00E10D4F"/>
    <w:rsid w:val="00E147BD"/>
    <w:rsid w:val="00E173B0"/>
    <w:rsid w:val="00E20A74"/>
    <w:rsid w:val="00E23412"/>
    <w:rsid w:val="00E27006"/>
    <w:rsid w:val="00E43F02"/>
    <w:rsid w:val="00E46DBC"/>
    <w:rsid w:val="00E513AF"/>
    <w:rsid w:val="00E52DA0"/>
    <w:rsid w:val="00E52F98"/>
    <w:rsid w:val="00E947DF"/>
    <w:rsid w:val="00EA57C4"/>
    <w:rsid w:val="00EB66E9"/>
    <w:rsid w:val="00EC0D78"/>
    <w:rsid w:val="00ED1EE3"/>
    <w:rsid w:val="00ED3AB3"/>
    <w:rsid w:val="00ED61CF"/>
    <w:rsid w:val="00EE4D3E"/>
    <w:rsid w:val="00EE6014"/>
    <w:rsid w:val="00EF6B20"/>
    <w:rsid w:val="00EF6BCE"/>
    <w:rsid w:val="00F05F94"/>
    <w:rsid w:val="00F179D3"/>
    <w:rsid w:val="00F318C9"/>
    <w:rsid w:val="00F36F72"/>
    <w:rsid w:val="00F37206"/>
    <w:rsid w:val="00F409D9"/>
    <w:rsid w:val="00F422FB"/>
    <w:rsid w:val="00F45FA4"/>
    <w:rsid w:val="00F4617A"/>
    <w:rsid w:val="00F55537"/>
    <w:rsid w:val="00F5554A"/>
    <w:rsid w:val="00F55F84"/>
    <w:rsid w:val="00F5796D"/>
    <w:rsid w:val="00F6018D"/>
    <w:rsid w:val="00F604AB"/>
    <w:rsid w:val="00F61CBD"/>
    <w:rsid w:val="00F6290B"/>
    <w:rsid w:val="00F67B98"/>
    <w:rsid w:val="00F72451"/>
    <w:rsid w:val="00F72840"/>
    <w:rsid w:val="00F7387A"/>
    <w:rsid w:val="00F77C99"/>
    <w:rsid w:val="00F827F6"/>
    <w:rsid w:val="00F8498D"/>
    <w:rsid w:val="00F90BB6"/>
    <w:rsid w:val="00F959FC"/>
    <w:rsid w:val="00F967F8"/>
    <w:rsid w:val="00FA3E70"/>
    <w:rsid w:val="00FB721C"/>
    <w:rsid w:val="00FD1AE7"/>
    <w:rsid w:val="00FE13B6"/>
    <w:rsid w:val="00FE37F3"/>
    <w:rsid w:val="00FE5565"/>
    <w:rsid w:val="00FE635F"/>
    <w:rsid w:val="00FF60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167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13025"/>
    <w:rPr>
      <w:rFonts w:ascii="Lucida Grande" w:hAnsi="Lucida Grande" w:cs="Lucida Grande"/>
      <w:sz w:val="18"/>
      <w:szCs w:val="18"/>
    </w:rPr>
  </w:style>
  <w:style w:type="character" w:customStyle="1" w:styleId="BalloonTextChar0">
    <w:name w:val="Balloon Text Char"/>
    <w:basedOn w:val="DefaultParagraphFont"/>
    <w:uiPriority w:val="99"/>
    <w:semiHidden/>
    <w:rsid w:val="00FE7DBA"/>
    <w:rPr>
      <w:rFonts w:ascii="Lucida Grande" w:hAnsi="Lucida Grande"/>
      <w:sz w:val="18"/>
      <w:szCs w:val="18"/>
    </w:rPr>
  </w:style>
  <w:style w:type="character" w:customStyle="1" w:styleId="BalloonTextChar2">
    <w:name w:val="Balloon Text Char"/>
    <w:basedOn w:val="DefaultParagraphFont"/>
    <w:uiPriority w:val="99"/>
    <w:semiHidden/>
    <w:rsid w:val="00FE7DBA"/>
    <w:rPr>
      <w:rFonts w:ascii="Lucida Grande" w:hAnsi="Lucida Grande"/>
      <w:sz w:val="18"/>
      <w:szCs w:val="18"/>
    </w:rPr>
  </w:style>
  <w:style w:type="character" w:customStyle="1" w:styleId="BalloonTextChar3">
    <w:name w:val="Balloon Text Char"/>
    <w:basedOn w:val="DefaultParagraphFont"/>
    <w:uiPriority w:val="99"/>
    <w:semiHidden/>
    <w:rsid w:val="00FE7DBA"/>
    <w:rPr>
      <w:rFonts w:ascii="Lucida Grande" w:hAnsi="Lucida Grande"/>
      <w:sz w:val="18"/>
      <w:szCs w:val="18"/>
    </w:rPr>
  </w:style>
  <w:style w:type="character" w:customStyle="1" w:styleId="BalloonTextChar4">
    <w:name w:val="Balloon Text Char"/>
    <w:basedOn w:val="DefaultParagraphFont"/>
    <w:uiPriority w:val="99"/>
    <w:semiHidden/>
    <w:rsid w:val="00D730C7"/>
    <w:rPr>
      <w:rFonts w:ascii="Lucida Grande" w:hAnsi="Lucida Grande" w:cs="Lucida Grande"/>
      <w:sz w:val="18"/>
      <w:szCs w:val="18"/>
    </w:rPr>
  </w:style>
  <w:style w:type="character" w:customStyle="1" w:styleId="BalloonTextChar5">
    <w:name w:val="Balloon Text Char"/>
    <w:basedOn w:val="DefaultParagraphFont"/>
    <w:uiPriority w:val="99"/>
    <w:semiHidden/>
    <w:rsid w:val="00A35CA1"/>
    <w:rPr>
      <w:rFonts w:ascii="Lucida Grande" w:hAnsi="Lucida Grande"/>
      <w:sz w:val="18"/>
      <w:szCs w:val="18"/>
    </w:rPr>
  </w:style>
  <w:style w:type="paragraph" w:styleId="FootnoteText">
    <w:name w:val="footnote text"/>
    <w:aliases w:val="single space,Footnote Text Char Char Char,Footnote Text Char Char Char1,Footnote Text Char Char Char2 Char,Footnote Text Char Char Char1 Char,Footnote Text Char Char,Footnote Text Char1 Char,Footnote Text Char1,Footnote Text Char Char1,Ca"/>
    <w:basedOn w:val="Normal"/>
    <w:link w:val="FootnoteTextChar"/>
    <w:uiPriority w:val="99"/>
    <w:unhideWhenUsed/>
    <w:rsid w:val="000E3B54"/>
    <w:pPr>
      <w:spacing w:after="0" w:line="240" w:lineRule="auto"/>
    </w:pPr>
    <w:rPr>
      <w:rFonts w:eastAsiaTheme="minorEastAsia"/>
      <w:sz w:val="20"/>
      <w:szCs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Char1 Char Char"/>
    <w:basedOn w:val="DefaultParagraphFont"/>
    <w:link w:val="FootnoteText"/>
    <w:uiPriority w:val="99"/>
    <w:rsid w:val="000E3B54"/>
    <w:rPr>
      <w:rFonts w:eastAsiaTheme="minorEastAsia"/>
      <w:sz w:val="20"/>
      <w:szCs w:val="20"/>
    </w:rPr>
  </w:style>
  <w:style w:type="character" w:styleId="FootnoteReference">
    <w:name w:val="footnote reference"/>
    <w:aliases w:val=" BVI fnr,BVI fnr,Footnote Reference1,ftref"/>
    <w:basedOn w:val="DefaultParagraphFont"/>
    <w:uiPriority w:val="99"/>
    <w:unhideWhenUsed/>
    <w:rsid w:val="000E3B54"/>
    <w:rPr>
      <w:vertAlign w:val="superscript"/>
    </w:rPr>
  </w:style>
  <w:style w:type="character" w:styleId="Hyperlink">
    <w:name w:val="Hyperlink"/>
    <w:basedOn w:val="DefaultParagraphFont"/>
    <w:uiPriority w:val="99"/>
    <w:unhideWhenUsed/>
    <w:rsid w:val="00F318C9"/>
    <w:rPr>
      <w:color w:val="0000FF" w:themeColor="hyperlink"/>
      <w:u w:val="single"/>
    </w:rPr>
  </w:style>
  <w:style w:type="paragraph" w:styleId="ListParagraph">
    <w:name w:val="List Paragraph"/>
    <w:basedOn w:val="Normal"/>
    <w:uiPriority w:val="34"/>
    <w:qFormat/>
    <w:rsid w:val="00DB63DE"/>
    <w:pPr>
      <w:spacing w:after="0" w:line="240" w:lineRule="auto"/>
      <w:ind w:left="720"/>
      <w:contextualSpacing/>
    </w:pPr>
    <w:rPr>
      <w:rFonts w:eastAsiaTheme="minorEastAsia"/>
      <w:sz w:val="24"/>
      <w:szCs w:val="24"/>
    </w:rPr>
  </w:style>
  <w:style w:type="character" w:customStyle="1" w:styleId="Span">
    <w:name w:val="Span"/>
    <w:rsid w:val="00DB63DE"/>
    <w:rPr>
      <w:rFonts w:ascii="Times New Roman" w:eastAsia="Times New Roman" w:hAnsi="Times New Roman" w:cs="Times New Roman"/>
      <w:sz w:val="24"/>
    </w:rPr>
  </w:style>
  <w:style w:type="paragraph" w:styleId="Header">
    <w:name w:val="header"/>
    <w:basedOn w:val="Normal"/>
    <w:link w:val="HeaderChar"/>
    <w:uiPriority w:val="99"/>
    <w:unhideWhenUsed/>
    <w:rsid w:val="006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56"/>
  </w:style>
  <w:style w:type="paragraph" w:styleId="Footer">
    <w:name w:val="footer"/>
    <w:basedOn w:val="Normal"/>
    <w:link w:val="FooterChar"/>
    <w:uiPriority w:val="99"/>
    <w:unhideWhenUsed/>
    <w:rsid w:val="006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56"/>
  </w:style>
  <w:style w:type="character" w:styleId="CommentReference">
    <w:name w:val="annotation reference"/>
    <w:basedOn w:val="DefaultParagraphFont"/>
    <w:uiPriority w:val="99"/>
    <w:semiHidden/>
    <w:unhideWhenUsed/>
    <w:rsid w:val="00161674"/>
    <w:rPr>
      <w:sz w:val="16"/>
      <w:szCs w:val="16"/>
    </w:rPr>
  </w:style>
  <w:style w:type="paragraph" w:styleId="CommentText">
    <w:name w:val="annotation text"/>
    <w:basedOn w:val="Normal"/>
    <w:link w:val="CommentTextChar"/>
    <w:uiPriority w:val="99"/>
    <w:unhideWhenUsed/>
    <w:rsid w:val="00161674"/>
    <w:pPr>
      <w:spacing w:line="240" w:lineRule="auto"/>
    </w:pPr>
    <w:rPr>
      <w:sz w:val="20"/>
      <w:szCs w:val="20"/>
    </w:rPr>
  </w:style>
  <w:style w:type="character" w:customStyle="1" w:styleId="CommentTextChar">
    <w:name w:val="Comment Text Char"/>
    <w:basedOn w:val="DefaultParagraphFont"/>
    <w:link w:val="CommentText"/>
    <w:uiPriority w:val="99"/>
    <w:rsid w:val="00161674"/>
    <w:rPr>
      <w:sz w:val="20"/>
      <w:szCs w:val="20"/>
    </w:rPr>
  </w:style>
  <w:style w:type="paragraph" w:styleId="CommentSubject">
    <w:name w:val="annotation subject"/>
    <w:basedOn w:val="CommentText"/>
    <w:next w:val="CommentText"/>
    <w:link w:val="CommentSubjectChar"/>
    <w:uiPriority w:val="99"/>
    <w:semiHidden/>
    <w:unhideWhenUsed/>
    <w:rsid w:val="00161674"/>
    <w:rPr>
      <w:b/>
      <w:bCs/>
    </w:rPr>
  </w:style>
  <w:style w:type="character" w:customStyle="1" w:styleId="CommentSubjectChar">
    <w:name w:val="Comment Subject Char"/>
    <w:basedOn w:val="CommentTextChar"/>
    <w:link w:val="CommentSubject"/>
    <w:uiPriority w:val="99"/>
    <w:semiHidden/>
    <w:rsid w:val="00161674"/>
    <w:rPr>
      <w:b/>
      <w:bCs/>
      <w:sz w:val="20"/>
      <w:szCs w:val="20"/>
    </w:rPr>
  </w:style>
  <w:style w:type="character" w:customStyle="1" w:styleId="BalloonTextChar1">
    <w:name w:val="Balloon Text Char1"/>
    <w:basedOn w:val="DefaultParagraphFont"/>
    <w:link w:val="BalloonText"/>
    <w:uiPriority w:val="99"/>
    <w:semiHidden/>
    <w:rsid w:val="00161674"/>
    <w:rPr>
      <w:rFonts w:ascii="Tahoma" w:hAnsi="Tahoma" w:cs="Tahoma"/>
      <w:sz w:val="16"/>
      <w:szCs w:val="16"/>
    </w:rPr>
  </w:style>
  <w:style w:type="paragraph" w:styleId="Revision">
    <w:name w:val="Revision"/>
    <w:hidden/>
    <w:uiPriority w:val="99"/>
    <w:semiHidden/>
    <w:rsid w:val="005F33D1"/>
    <w:pPr>
      <w:spacing w:after="0" w:line="240" w:lineRule="auto"/>
    </w:pPr>
  </w:style>
  <w:style w:type="character" w:customStyle="1" w:styleId="apple-converted-space">
    <w:name w:val="apple-converted-space"/>
    <w:basedOn w:val="DefaultParagraphFont"/>
    <w:rsid w:val="007B7136"/>
  </w:style>
  <w:style w:type="table" w:styleId="TableGrid">
    <w:name w:val="Table Grid"/>
    <w:basedOn w:val="TableNormal"/>
    <w:uiPriority w:val="59"/>
    <w:rsid w:val="005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4844"/>
  </w:style>
  <w:style w:type="paragraph" w:styleId="NormalWeb">
    <w:name w:val="Normal (Web)"/>
    <w:basedOn w:val="Normal"/>
    <w:uiPriority w:val="99"/>
    <w:unhideWhenUsed/>
    <w:rsid w:val="00B81FB8"/>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rsid w:val="00F959FC"/>
    <w:pPr>
      <w:spacing w:after="0" w:line="240" w:lineRule="auto"/>
    </w:pPr>
    <w:rPr>
      <w:sz w:val="24"/>
      <w:szCs w:val="24"/>
    </w:rPr>
  </w:style>
  <w:style w:type="character" w:customStyle="1" w:styleId="EndnoteTextChar">
    <w:name w:val="Endnote Text Char"/>
    <w:basedOn w:val="DefaultParagraphFont"/>
    <w:link w:val="EndnoteText"/>
    <w:rsid w:val="00F959FC"/>
    <w:rPr>
      <w:sz w:val="24"/>
      <w:szCs w:val="24"/>
    </w:rPr>
  </w:style>
  <w:style w:type="character" w:styleId="EndnoteReference">
    <w:name w:val="endnote reference"/>
    <w:basedOn w:val="DefaultParagraphFont"/>
    <w:rsid w:val="00F959FC"/>
    <w:rPr>
      <w:vertAlign w:val="superscript"/>
    </w:rPr>
  </w:style>
  <w:style w:type="character" w:styleId="FollowedHyperlink">
    <w:name w:val="FollowedHyperlink"/>
    <w:basedOn w:val="DefaultParagraphFont"/>
    <w:rsid w:val="00F959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167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13025"/>
    <w:rPr>
      <w:rFonts w:ascii="Lucida Grande" w:hAnsi="Lucida Grande" w:cs="Lucida Grande"/>
      <w:sz w:val="18"/>
      <w:szCs w:val="18"/>
    </w:rPr>
  </w:style>
  <w:style w:type="character" w:customStyle="1" w:styleId="BalloonTextChar0">
    <w:name w:val="Balloon Text Char"/>
    <w:basedOn w:val="DefaultParagraphFont"/>
    <w:uiPriority w:val="99"/>
    <w:semiHidden/>
    <w:rsid w:val="00FE7DBA"/>
    <w:rPr>
      <w:rFonts w:ascii="Lucida Grande" w:hAnsi="Lucida Grande"/>
      <w:sz w:val="18"/>
      <w:szCs w:val="18"/>
    </w:rPr>
  </w:style>
  <w:style w:type="character" w:customStyle="1" w:styleId="BalloonTextChar2">
    <w:name w:val="Balloon Text Char"/>
    <w:basedOn w:val="DefaultParagraphFont"/>
    <w:uiPriority w:val="99"/>
    <w:semiHidden/>
    <w:rsid w:val="00FE7DBA"/>
    <w:rPr>
      <w:rFonts w:ascii="Lucida Grande" w:hAnsi="Lucida Grande"/>
      <w:sz w:val="18"/>
      <w:szCs w:val="18"/>
    </w:rPr>
  </w:style>
  <w:style w:type="character" w:customStyle="1" w:styleId="BalloonTextChar3">
    <w:name w:val="Balloon Text Char"/>
    <w:basedOn w:val="DefaultParagraphFont"/>
    <w:uiPriority w:val="99"/>
    <w:semiHidden/>
    <w:rsid w:val="00FE7DBA"/>
    <w:rPr>
      <w:rFonts w:ascii="Lucida Grande" w:hAnsi="Lucida Grande"/>
      <w:sz w:val="18"/>
      <w:szCs w:val="18"/>
    </w:rPr>
  </w:style>
  <w:style w:type="character" w:customStyle="1" w:styleId="BalloonTextChar4">
    <w:name w:val="Balloon Text Char"/>
    <w:basedOn w:val="DefaultParagraphFont"/>
    <w:uiPriority w:val="99"/>
    <w:semiHidden/>
    <w:rsid w:val="00D730C7"/>
    <w:rPr>
      <w:rFonts w:ascii="Lucida Grande" w:hAnsi="Lucida Grande" w:cs="Lucida Grande"/>
      <w:sz w:val="18"/>
      <w:szCs w:val="18"/>
    </w:rPr>
  </w:style>
  <w:style w:type="character" w:customStyle="1" w:styleId="BalloonTextChar5">
    <w:name w:val="Balloon Text Char"/>
    <w:basedOn w:val="DefaultParagraphFont"/>
    <w:uiPriority w:val="99"/>
    <w:semiHidden/>
    <w:rsid w:val="00A35CA1"/>
    <w:rPr>
      <w:rFonts w:ascii="Lucida Grande" w:hAnsi="Lucida Grande"/>
      <w:sz w:val="18"/>
      <w:szCs w:val="18"/>
    </w:rPr>
  </w:style>
  <w:style w:type="paragraph" w:styleId="FootnoteText">
    <w:name w:val="footnote text"/>
    <w:aliases w:val="single space,Footnote Text Char Char Char,Footnote Text Char Char Char1,Footnote Text Char Char Char2 Char,Footnote Text Char Char Char1 Char,Footnote Text Char Char,Footnote Text Char1 Char,Footnote Text Char1,Footnote Text Char Char1,Ca"/>
    <w:basedOn w:val="Normal"/>
    <w:link w:val="FootnoteTextChar"/>
    <w:uiPriority w:val="99"/>
    <w:unhideWhenUsed/>
    <w:rsid w:val="000E3B54"/>
    <w:pPr>
      <w:spacing w:after="0" w:line="240" w:lineRule="auto"/>
    </w:pPr>
    <w:rPr>
      <w:rFonts w:eastAsiaTheme="minorEastAsia"/>
      <w:sz w:val="20"/>
      <w:szCs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Char1 Char Char"/>
    <w:basedOn w:val="DefaultParagraphFont"/>
    <w:link w:val="FootnoteText"/>
    <w:uiPriority w:val="99"/>
    <w:rsid w:val="000E3B54"/>
    <w:rPr>
      <w:rFonts w:eastAsiaTheme="minorEastAsia"/>
      <w:sz w:val="20"/>
      <w:szCs w:val="20"/>
    </w:rPr>
  </w:style>
  <w:style w:type="character" w:styleId="FootnoteReference">
    <w:name w:val="footnote reference"/>
    <w:aliases w:val=" BVI fnr,BVI fnr,Footnote Reference1,ftref"/>
    <w:basedOn w:val="DefaultParagraphFont"/>
    <w:uiPriority w:val="99"/>
    <w:unhideWhenUsed/>
    <w:rsid w:val="000E3B54"/>
    <w:rPr>
      <w:vertAlign w:val="superscript"/>
    </w:rPr>
  </w:style>
  <w:style w:type="character" w:styleId="Hyperlink">
    <w:name w:val="Hyperlink"/>
    <w:basedOn w:val="DefaultParagraphFont"/>
    <w:uiPriority w:val="99"/>
    <w:unhideWhenUsed/>
    <w:rsid w:val="00F318C9"/>
    <w:rPr>
      <w:color w:val="0000FF" w:themeColor="hyperlink"/>
      <w:u w:val="single"/>
    </w:rPr>
  </w:style>
  <w:style w:type="paragraph" w:styleId="ListParagraph">
    <w:name w:val="List Paragraph"/>
    <w:basedOn w:val="Normal"/>
    <w:uiPriority w:val="34"/>
    <w:qFormat/>
    <w:rsid w:val="00DB63DE"/>
    <w:pPr>
      <w:spacing w:after="0" w:line="240" w:lineRule="auto"/>
      <w:ind w:left="720"/>
      <w:contextualSpacing/>
    </w:pPr>
    <w:rPr>
      <w:rFonts w:eastAsiaTheme="minorEastAsia"/>
      <w:sz w:val="24"/>
      <w:szCs w:val="24"/>
    </w:rPr>
  </w:style>
  <w:style w:type="character" w:customStyle="1" w:styleId="Span">
    <w:name w:val="Span"/>
    <w:rsid w:val="00DB63DE"/>
    <w:rPr>
      <w:rFonts w:ascii="Times New Roman" w:eastAsia="Times New Roman" w:hAnsi="Times New Roman" w:cs="Times New Roman"/>
      <w:sz w:val="24"/>
    </w:rPr>
  </w:style>
  <w:style w:type="paragraph" w:styleId="Header">
    <w:name w:val="header"/>
    <w:basedOn w:val="Normal"/>
    <w:link w:val="HeaderChar"/>
    <w:uiPriority w:val="99"/>
    <w:unhideWhenUsed/>
    <w:rsid w:val="006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56"/>
  </w:style>
  <w:style w:type="paragraph" w:styleId="Footer">
    <w:name w:val="footer"/>
    <w:basedOn w:val="Normal"/>
    <w:link w:val="FooterChar"/>
    <w:uiPriority w:val="99"/>
    <w:unhideWhenUsed/>
    <w:rsid w:val="006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56"/>
  </w:style>
  <w:style w:type="character" w:styleId="CommentReference">
    <w:name w:val="annotation reference"/>
    <w:basedOn w:val="DefaultParagraphFont"/>
    <w:uiPriority w:val="99"/>
    <w:semiHidden/>
    <w:unhideWhenUsed/>
    <w:rsid w:val="00161674"/>
    <w:rPr>
      <w:sz w:val="16"/>
      <w:szCs w:val="16"/>
    </w:rPr>
  </w:style>
  <w:style w:type="paragraph" w:styleId="CommentText">
    <w:name w:val="annotation text"/>
    <w:basedOn w:val="Normal"/>
    <w:link w:val="CommentTextChar"/>
    <w:uiPriority w:val="99"/>
    <w:unhideWhenUsed/>
    <w:rsid w:val="00161674"/>
    <w:pPr>
      <w:spacing w:line="240" w:lineRule="auto"/>
    </w:pPr>
    <w:rPr>
      <w:sz w:val="20"/>
      <w:szCs w:val="20"/>
    </w:rPr>
  </w:style>
  <w:style w:type="character" w:customStyle="1" w:styleId="CommentTextChar">
    <w:name w:val="Comment Text Char"/>
    <w:basedOn w:val="DefaultParagraphFont"/>
    <w:link w:val="CommentText"/>
    <w:uiPriority w:val="99"/>
    <w:rsid w:val="00161674"/>
    <w:rPr>
      <w:sz w:val="20"/>
      <w:szCs w:val="20"/>
    </w:rPr>
  </w:style>
  <w:style w:type="paragraph" w:styleId="CommentSubject">
    <w:name w:val="annotation subject"/>
    <w:basedOn w:val="CommentText"/>
    <w:next w:val="CommentText"/>
    <w:link w:val="CommentSubjectChar"/>
    <w:uiPriority w:val="99"/>
    <w:semiHidden/>
    <w:unhideWhenUsed/>
    <w:rsid w:val="00161674"/>
    <w:rPr>
      <w:b/>
      <w:bCs/>
    </w:rPr>
  </w:style>
  <w:style w:type="character" w:customStyle="1" w:styleId="CommentSubjectChar">
    <w:name w:val="Comment Subject Char"/>
    <w:basedOn w:val="CommentTextChar"/>
    <w:link w:val="CommentSubject"/>
    <w:uiPriority w:val="99"/>
    <w:semiHidden/>
    <w:rsid w:val="00161674"/>
    <w:rPr>
      <w:b/>
      <w:bCs/>
      <w:sz w:val="20"/>
      <w:szCs w:val="20"/>
    </w:rPr>
  </w:style>
  <w:style w:type="character" w:customStyle="1" w:styleId="BalloonTextChar1">
    <w:name w:val="Balloon Text Char1"/>
    <w:basedOn w:val="DefaultParagraphFont"/>
    <w:link w:val="BalloonText"/>
    <w:uiPriority w:val="99"/>
    <w:semiHidden/>
    <w:rsid w:val="00161674"/>
    <w:rPr>
      <w:rFonts w:ascii="Tahoma" w:hAnsi="Tahoma" w:cs="Tahoma"/>
      <w:sz w:val="16"/>
      <w:szCs w:val="16"/>
    </w:rPr>
  </w:style>
  <w:style w:type="paragraph" w:styleId="Revision">
    <w:name w:val="Revision"/>
    <w:hidden/>
    <w:uiPriority w:val="99"/>
    <w:semiHidden/>
    <w:rsid w:val="005F33D1"/>
    <w:pPr>
      <w:spacing w:after="0" w:line="240" w:lineRule="auto"/>
    </w:pPr>
  </w:style>
  <w:style w:type="character" w:customStyle="1" w:styleId="apple-converted-space">
    <w:name w:val="apple-converted-space"/>
    <w:basedOn w:val="DefaultParagraphFont"/>
    <w:rsid w:val="007B7136"/>
  </w:style>
  <w:style w:type="table" w:styleId="TableGrid">
    <w:name w:val="Table Grid"/>
    <w:basedOn w:val="TableNormal"/>
    <w:uiPriority w:val="59"/>
    <w:rsid w:val="005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4844"/>
  </w:style>
  <w:style w:type="paragraph" w:styleId="NormalWeb">
    <w:name w:val="Normal (Web)"/>
    <w:basedOn w:val="Normal"/>
    <w:uiPriority w:val="99"/>
    <w:unhideWhenUsed/>
    <w:rsid w:val="00B81FB8"/>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rsid w:val="00F959FC"/>
    <w:pPr>
      <w:spacing w:after="0" w:line="240" w:lineRule="auto"/>
    </w:pPr>
    <w:rPr>
      <w:sz w:val="24"/>
      <w:szCs w:val="24"/>
    </w:rPr>
  </w:style>
  <w:style w:type="character" w:customStyle="1" w:styleId="EndnoteTextChar">
    <w:name w:val="Endnote Text Char"/>
    <w:basedOn w:val="DefaultParagraphFont"/>
    <w:link w:val="EndnoteText"/>
    <w:rsid w:val="00F959FC"/>
    <w:rPr>
      <w:sz w:val="24"/>
      <w:szCs w:val="24"/>
    </w:rPr>
  </w:style>
  <w:style w:type="character" w:styleId="EndnoteReference">
    <w:name w:val="endnote reference"/>
    <w:basedOn w:val="DefaultParagraphFont"/>
    <w:rsid w:val="00F959FC"/>
    <w:rPr>
      <w:vertAlign w:val="superscript"/>
    </w:rPr>
  </w:style>
  <w:style w:type="character" w:styleId="FollowedHyperlink">
    <w:name w:val="FollowedHyperlink"/>
    <w:basedOn w:val="DefaultParagraphFont"/>
    <w:rsid w:val="00F95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24">
      <w:bodyDiv w:val="1"/>
      <w:marLeft w:val="0"/>
      <w:marRight w:val="0"/>
      <w:marTop w:val="0"/>
      <w:marBottom w:val="0"/>
      <w:divBdr>
        <w:top w:val="none" w:sz="0" w:space="0" w:color="auto"/>
        <w:left w:val="none" w:sz="0" w:space="0" w:color="auto"/>
        <w:bottom w:val="none" w:sz="0" w:space="0" w:color="auto"/>
        <w:right w:val="none" w:sz="0" w:space="0" w:color="auto"/>
      </w:divBdr>
    </w:div>
    <w:div w:id="65149596">
      <w:bodyDiv w:val="1"/>
      <w:marLeft w:val="0"/>
      <w:marRight w:val="0"/>
      <w:marTop w:val="0"/>
      <w:marBottom w:val="0"/>
      <w:divBdr>
        <w:top w:val="none" w:sz="0" w:space="0" w:color="auto"/>
        <w:left w:val="none" w:sz="0" w:space="0" w:color="auto"/>
        <w:bottom w:val="none" w:sz="0" w:space="0" w:color="auto"/>
        <w:right w:val="none" w:sz="0" w:space="0" w:color="auto"/>
      </w:divBdr>
    </w:div>
    <w:div w:id="138689062">
      <w:bodyDiv w:val="1"/>
      <w:marLeft w:val="0"/>
      <w:marRight w:val="0"/>
      <w:marTop w:val="0"/>
      <w:marBottom w:val="0"/>
      <w:divBdr>
        <w:top w:val="none" w:sz="0" w:space="0" w:color="auto"/>
        <w:left w:val="none" w:sz="0" w:space="0" w:color="auto"/>
        <w:bottom w:val="none" w:sz="0" w:space="0" w:color="auto"/>
        <w:right w:val="none" w:sz="0" w:space="0" w:color="auto"/>
      </w:divBdr>
    </w:div>
    <w:div w:id="159807575">
      <w:bodyDiv w:val="1"/>
      <w:marLeft w:val="0"/>
      <w:marRight w:val="0"/>
      <w:marTop w:val="0"/>
      <w:marBottom w:val="0"/>
      <w:divBdr>
        <w:top w:val="none" w:sz="0" w:space="0" w:color="auto"/>
        <w:left w:val="none" w:sz="0" w:space="0" w:color="auto"/>
        <w:bottom w:val="none" w:sz="0" w:space="0" w:color="auto"/>
        <w:right w:val="none" w:sz="0" w:space="0" w:color="auto"/>
      </w:divBdr>
    </w:div>
    <w:div w:id="248203020">
      <w:bodyDiv w:val="1"/>
      <w:marLeft w:val="0"/>
      <w:marRight w:val="0"/>
      <w:marTop w:val="0"/>
      <w:marBottom w:val="0"/>
      <w:divBdr>
        <w:top w:val="none" w:sz="0" w:space="0" w:color="auto"/>
        <w:left w:val="none" w:sz="0" w:space="0" w:color="auto"/>
        <w:bottom w:val="none" w:sz="0" w:space="0" w:color="auto"/>
        <w:right w:val="none" w:sz="0" w:space="0" w:color="auto"/>
      </w:divBdr>
    </w:div>
    <w:div w:id="263074716">
      <w:bodyDiv w:val="1"/>
      <w:marLeft w:val="0"/>
      <w:marRight w:val="0"/>
      <w:marTop w:val="0"/>
      <w:marBottom w:val="0"/>
      <w:divBdr>
        <w:top w:val="none" w:sz="0" w:space="0" w:color="auto"/>
        <w:left w:val="none" w:sz="0" w:space="0" w:color="auto"/>
        <w:bottom w:val="none" w:sz="0" w:space="0" w:color="auto"/>
        <w:right w:val="none" w:sz="0" w:space="0" w:color="auto"/>
      </w:divBdr>
    </w:div>
    <w:div w:id="267733898">
      <w:bodyDiv w:val="1"/>
      <w:marLeft w:val="0"/>
      <w:marRight w:val="0"/>
      <w:marTop w:val="0"/>
      <w:marBottom w:val="0"/>
      <w:divBdr>
        <w:top w:val="none" w:sz="0" w:space="0" w:color="auto"/>
        <w:left w:val="none" w:sz="0" w:space="0" w:color="auto"/>
        <w:bottom w:val="none" w:sz="0" w:space="0" w:color="auto"/>
        <w:right w:val="none" w:sz="0" w:space="0" w:color="auto"/>
      </w:divBdr>
    </w:div>
    <w:div w:id="332224628">
      <w:bodyDiv w:val="1"/>
      <w:marLeft w:val="0"/>
      <w:marRight w:val="0"/>
      <w:marTop w:val="0"/>
      <w:marBottom w:val="0"/>
      <w:divBdr>
        <w:top w:val="none" w:sz="0" w:space="0" w:color="auto"/>
        <w:left w:val="none" w:sz="0" w:space="0" w:color="auto"/>
        <w:bottom w:val="none" w:sz="0" w:space="0" w:color="auto"/>
        <w:right w:val="none" w:sz="0" w:space="0" w:color="auto"/>
      </w:divBdr>
    </w:div>
    <w:div w:id="337851261">
      <w:bodyDiv w:val="1"/>
      <w:marLeft w:val="0"/>
      <w:marRight w:val="0"/>
      <w:marTop w:val="0"/>
      <w:marBottom w:val="0"/>
      <w:divBdr>
        <w:top w:val="none" w:sz="0" w:space="0" w:color="auto"/>
        <w:left w:val="none" w:sz="0" w:space="0" w:color="auto"/>
        <w:bottom w:val="none" w:sz="0" w:space="0" w:color="auto"/>
        <w:right w:val="none" w:sz="0" w:space="0" w:color="auto"/>
      </w:divBdr>
    </w:div>
    <w:div w:id="351734247">
      <w:bodyDiv w:val="1"/>
      <w:marLeft w:val="0"/>
      <w:marRight w:val="0"/>
      <w:marTop w:val="0"/>
      <w:marBottom w:val="0"/>
      <w:divBdr>
        <w:top w:val="none" w:sz="0" w:space="0" w:color="auto"/>
        <w:left w:val="none" w:sz="0" w:space="0" w:color="auto"/>
        <w:bottom w:val="none" w:sz="0" w:space="0" w:color="auto"/>
        <w:right w:val="none" w:sz="0" w:space="0" w:color="auto"/>
      </w:divBdr>
    </w:div>
    <w:div w:id="384642210">
      <w:bodyDiv w:val="1"/>
      <w:marLeft w:val="0"/>
      <w:marRight w:val="0"/>
      <w:marTop w:val="0"/>
      <w:marBottom w:val="0"/>
      <w:divBdr>
        <w:top w:val="none" w:sz="0" w:space="0" w:color="auto"/>
        <w:left w:val="none" w:sz="0" w:space="0" w:color="auto"/>
        <w:bottom w:val="none" w:sz="0" w:space="0" w:color="auto"/>
        <w:right w:val="none" w:sz="0" w:space="0" w:color="auto"/>
      </w:divBdr>
    </w:div>
    <w:div w:id="498926274">
      <w:bodyDiv w:val="1"/>
      <w:marLeft w:val="0"/>
      <w:marRight w:val="0"/>
      <w:marTop w:val="0"/>
      <w:marBottom w:val="0"/>
      <w:divBdr>
        <w:top w:val="none" w:sz="0" w:space="0" w:color="auto"/>
        <w:left w:val="none" w:sz="0" w:space="0" w:color="auto"/>
        <w:bottom w:val="none" w:sz="0" w:space="0" w:color="auto"/>
        <w:right w:val="none" w:sz="0" w:space="0" w:color="auto"/>
      </w:divBdr>
    </w:div>
    <w:div w:id="535779072">
      <w:bodyDiv w:val="1"/>
      <w:marLeft w:val="0"/>
      <w:marRight w:val="0"/>
      <w:marTop w:val="0"/>
      <w:marBottom w:val="0"/>
      <w:divBdr>
        <w:top w:val="none" w:sz="0" w:space="0" w:color="auto"/>
        <w:left w:val="none" w:sz="0" w:space="0" w:color="auto"/>
        <w:bottom w:val="none" w:sz="0" w:space="0" w:color="auto"/>
        <w:right w:val="none" w:sz="0" w:space="0" w:color="auto"/>
      </w:divBdr>
    </w:div>
    <w:div w:id="537013121">
      <w:bodyDiv w:val="1"/>
      <w:marLeft w:val="0"/>
      <w:marRight w:val="0"/>
      <w:marTop w:val="0"/>
      <w:marBottom w:val="0"/>
      <w:divBdr>
        <w:top w:val="none" w:sz="0" w:space="0" w:color="auto"/>
        <w:left w:val="none" w:sz="0" w:space="0" w:color="auto"/>
        <w:bottom w:val="none" w:sz="0" w:space="0" w:color="auto"/>
        <w:right w:val="none" w:sz="0" w:space="0" w:color="auto"/>
      </w:divBdr>
    </w:div>
    <w:div w:id="551886347">
      <w:bodyDiv w:val="1"/>
      <w:marLeft w:val="0"/>
      <w:marRight w:val="0"/>
      <w:marTop w:val="0"/>
      <w:marBottom w:val="0"/>
      <w:divBdr>
        <w:top w:val="none" w:sz="0" w:space="0" w:color="auto"/>
        <w:left w:val="none" w:sz="0" w:space="0" w:color="auto"/>
        <w:bottom w:val="none" w:sz="0" w:space="0" w:color="auto"/>
        <w:right w:val="none" w:sz="0" w:space="0" w:color="auto"/>
      </w:divBdr>
    </w:div>
    <w:div w:id="568465586">
      <w:bodyDiv w:val="1"/>
      <w:marLeft w:val="0"/>
      <w:marRight w:val="0"/>
      <w:marTop w:val="0"/>
      <w:marBottom w:val="0"/>
      <w:divBdr>
        <w:top w:val="none" w:sz="0" w:space="0" w:color="auto"/>
        <w:left w:val="none" w:sz="0" w:space="0" w:color="auto"/>
        <w:bottom w:val="none" w:sz="0" w:space="0" w:color="auto"/>
        <w:right w:val="none" w:sz="0" w:space="0" w:color="auto"/>
      </w:divBdr>
    </w:div>
    <w:div w:id="592709277">
      <w:bodyDiv w:val="1"/>
      <w:marLeft w:val="0"/>
      <w:marRight w:val="0"/>
      <w:marTop w:val="0"/>
      <w:marBottom w:val="0"/>
      <w:divBdr>
        <w:top w:val="none" w:sz="0" w:space="0" w:color="auto"/>
        <w:left w:val="none" w:sz="0" w:space="0" w:color="auto"/>
        <w:bottom w:val="none" w:sz="0" w:space="0" w:color="auto"/>
        <w:right w:val="none" w:sz="0" w:space="0" w:color="auto"/>
      </w:divBdr>
    </w:div>
    <w:div w:id="780146920">
      <w:bodyDiv w:val="1"/>
      <w:marLeft w:val="0"/>
      <w:marRight w:val="0"/>
      <w:marTop w:val="0"/>
      <w:marBottom w:val="0"/>
      <w:divBdr>
        <w:top w:val="none" w:sz="0" w:space="0" w:color="auto"/>
        <w:left w:val="none" w:sz="0" w:space="0" w:color="auto"/>
        <w:bottom w:val="none" w:sz="0" w:space="0" w:color="auto"/>
        <w:right w:val="none" w:sz="0" w:space="0" w:color="auto"/>
      </w:divBdr>
    </w:div>
    <w:div w:id="781268208">
      <w:bodyDiv w:val="1"/>
      <w:marLeft w:val="0"/>
      <w:marRight w:val="0"/>
      <w:marTop w:val="0"/>
      <w:marBottom w:val="0"/>
      <w:divBdr>
        <w:top w:val="none" w:sz="0" w:space="0" w:color="auto"/>
        <w:left w:val="none" w:sz="0" w:space="0" w:color="auto"/>
        <w:bottom w:val="none" w:sz="0" w:space="0" w:color="auto"/>
        <w:right w:val="none" w:sz="0" w:space="0" w:color="auto"/>
      </w:divBdr>
    </w:div>
    <w:div w:id="819267486">
      <w:bodyDiv w:val="1"/>
      <w:marLeft w:val="0"/>
      <w:marRight w:val="0"/>
      <w:marTop w:val="0"/>
      <w:marBottom w:val="0"/>
      <w:divBdr>
        <w:top w:val="none" w:sz="0" w:space="0" w:color="auto"/>
        <w:left w:val="none" w:sz="0" w:space="0" w:color="auto"/>
        <w:bottom w:val="none" w:sz="0" w:space="0" w:color="auto"/>
        <w:right w:val="none" w:sz="0" w:space="0" w:color="auto"/>
      </w:divBdr>
    </w:div>
    <w:div w:id="850606236">
      <w:bodyDiv w:val="1"/>
      <w:marLeft w:val="0"/>
      <w:marRight w:val="0"/>
      <w:marTop w:val="0"/>
      <w:marBottom w:val="0"/>
      <w:divBdr>
        <w:top w:val="none" w:sz="0" w:space="0" w:color="auto"/>
        <w:left w:val="none" w:sz="0" w:space="0" w:color="auto"/>
        <w:bottom w:val="none" w:sz="0" w:space="0" w:color="auto"/>
        <w:right w:val="none" w:sz="0" w:space="0" w:color="auto"/>
      </w:divBdr>
    </w:div>
    <w:div w:id="861553349">
      <w:bodyDiv w:val="1"/>
      <w:marLeft w:val="0"/>
      <w:marRight w:val="0"/>
      <w:marTop w:val="0"/>
      <w:marBottom w:val="0"/>
      <w:divBdr>
        <w:top w:val="none" w:sz="0" w:space="0" w:color="auto"/>
        <w:left w:val="none" w:sz="0" w:space="0" w:color="auto"/>
        <w:bottom w:val="none" w:sz="0" w:space="0" w:color="auto"/>
        <w:right w:val="none" w:sz="0" w:space="0" w:color="auto"/>
      </w:divBdr>
    </w:div>
    <w:div w:id="939483772">
      <w:bodyDiv w:val="1"/>
      <w:marLeft w:val="0"/>
      <w:marRight w:val="0"/>
      <w:marTop w:val="0"/>
      <w:marBottom w:val="0"/>
      <w:divBdr>
        <w:top w:val="none" w:sz="0" w:space="0" w:color="auto"/>
        <w:left w:val="none" w:sz="0" w:space="0" w:color="auto"/>
        <w:bottom w:val="none" w:sz="0" w:space="0" w:color="auto"/>
        <w:right w:val="none" w:sz="0" w:space="0" w:color="auto"/>
      </w:divBdr>
    </w:div>
    <w:div w:id="1008557310">
      <w:bodyDiv w:val="1"/>
      <w:marLeft w:val="0"/>
      <w:marRight w:val="0"/>
      <w:marTop w:val="0"/>
      <w:marBottom w:val="0"/>
      <w:divBdr>
        <w:top w:val="none" w:sz="0" w:space="0" w:color="auto"/>
        <w:left w:val="none" w:sz="0" w:space="0" w:color="auto"/>
        <w:bottom w:val="none" w:sz="0" w:space="0" w:color="auto"/>
        <w:right w:val="none" w:sz="0" w:space="0" w:color="auto"/>
      </w:divBdr>
    </w:div>
    <w:div w:id="1024793867">
      <w:bodyDiv w:val="1"/>
      <w:marLeft w:val="0"/>
      <w:marRight w:val="0"/>
      <w:marTop w:val="0"/>
      <w:marBottom w:val="0"/>
      <w:divBdr>
        <w:top w:val="none" w:sz="0" w:space="0" w:color="auto"/>
        <w:left w:val="none" w:sz="0" w:space="0" w:color="auto"/>
        <w:bottom w:val="none" w:sz="0" w:space="0" w:color="auto"/>
        <w:right w:val="none" w:sz="0" w:space="0" w:color="auto"/>
      </w:divBdr>
    </w:div>
    <w:div w:id="1050542605">
      <w:bodyDiv w:val="1"/>
      <w:marLeft w:val="0"/>
      <w:marRight w:val="0"/>
      <w:marTop w:val="0"/>
      <w:marBottom w:val="0"/>
      <w:divBdr>
        <w:top w:val="none" w:sz="0" w:space="0" w:color="auto"/>
        <w:left w:val="none" w:sz="0" w:space="0" w:color="auto"/>
        <w:bottom w:val="none" w:sz="0" w:space="0" w:color="auto"/>
        <w:right w:val="none" w:sz="0" w:space="0" w:color="auto"/>
      </w:divBdr>
    </w:div>
    <w:div w:id="1152718616">
      <w:bodyDiv w:val="1"/>
      <w:marLeft w:val="0"/>
      <w:marRight w:val="0"/>
      <w:marTop w:val="0"/>
      <w:marBottom w:val="0"/>
      <w:divBdr>
        <w:top w:val="none" w:sz="0" w:space="0" w:color="auto"/>
        <w:left w:val="none" w:sz="0" w:space="0" w:color="auto"/>
        <w:bottom w:val="none" w:sz="0" w:space="0" w:color="auto"/>
        <w:right w:val="none" w:sz="0" w:space="0" w:color="auto"/>
      </w:divBdr>
    </w:div>
    <w:div w:id="1183738825">
      <w:bodyDiv w:val="1"/>
      <w:marLeft w:val="0"/>
      <w:marRight w:val="0"/>
      <w:marTop w:val="0"/>
      <w:marBottom w:val="0"/>
      <w:divBdr>
        <w:top w:val="none" w:sz="0" w:space="0" w:color="auto"/>
        <w:left w:val="none" w:sz="0" w:space="0" w:color="auto"/>
        <w:bottom w:val="none" w:sz="0" w:space="0" w:color="auto"/>
        <w:right w:val="none" w:sz="0" w:space="0" w:color="auto"/>
      </w:divBdr>
    </w:div>
    <w:div w:id="1442916596">
      <w:bodyDiv w:val="1"/>
      <w:marLeft w:val="0"/>
      <w:marRight w:val="0"/>
      <w:marTop w:val="0"/>
      <w:marBottom w:val="0"/>
      <w:divBdr>
        <w:top w:val="none" w:sz="0" w:space="0" w:color="auto"/>
        <w:left w:val="none" w:sz="0" w:space="0" w:color="auto"/>
        <w:bottom w:val="none" w:sz="0" w:space="0" w:color="auto"/>
        <w:right w:val="none" w:sz="0" w:space="0" w:color="auto"/>
      </w:divBdr>
    </w:div>
    <w:div w:id="1453093908">
      <w:bodyDiv w:val="1"/>
      <w:marLeft w:val="0"/>
      <w:marRight w:val="0"/>
      <w:marTop w:val="0"/>
      <w:marBottom w:val="0"/>
      <w:divBdr>
        <w:top w:val="none" w:sz="0" w:space="0" w:color="auto"/>
        <w:left w:val="none" w:sz="0" w:space="0" w:color="auto"/>
        <w:bottom w:val="none" w:sz="0" w:space="0" w:color="auto"/>
        <w:right w:val="none" w:sz="0" w:space="0" w:color="auto"/>
      </w:divBdr>
    </w:div>
    <w:div w:id="1498114781">
      <w:bodyDiv w:val="1"/>
      <w:marLeft w:val="0"/>
      <w:marRight w:val="0"/>
      <w:marTop w:val="0"/>
      <w:marBottom w:val="0"/>
      <w:divBdr>
        <w:top w:val="none" w:sz="0" w:space="0" w:color="auto"/>
        <w:left w:val="none" w:sz="0" w:space="0" w:color="auto"/>
        <w:bottom w:val="none" w:sz="0" w:space="0" w:color="auto"/>
        <w:right w:val="none" w:sz="0" w:space="0" w:color="auto"/>
      </w:divBdr>
    </w:div>
    <w:div w:id="1624457190">
      <w:bodyDiv w:val="1"/>
      <w:marLeft w:val="0"/>
      <w:marRight w:val="0"/>
      <w:marTop w:val="0"/>
      <w:marBottom w:val="0"/>
      <w:divBdr>
        <w:top w:val="none" w:sz="0" w:space="0" w:color="auto"/>
        <w:left w:val="none" w:sz="0" w:space="0" w:color="auto"/>
        <w:bottom w:val="none" w:sz="0" w:space="0" w:color="auto"/>
        <w:right w:val="none" w:sz="0" w:space="0" w:color="auto"/>
      </w:divBdr>
    </w:div>
    <w:div w:id="1721662618">
      <w:bodyDiv w:val="1"/>
      <w:marLeft w:val="0"/>
      <w:marRight w:val="0"/>
      <w:marTop w:val="0"/>
      <w:marBottom w:val="0"/>
      <w:divBdr>
        <w:top w:val="none" w:sz="0" w:space="0" w:color="auto"/>
        <w:left w:val="none" w:sz="0" w:space="0" w:color="auto"/>
        <w:bottom w:val="none" w:sz="0" w:space="0" w:color="auto"/>
        <w:right w:val="none" w:sz="0" w:space="0" w:color="auto"/>
      </w:divBdr>
    </w:div>
    <w:div w:id="1778792149">
      <w:bodyDiv w:val="1"/>
      <w:marLeft w:val="0"/>
      <w:marRight w:val="0"/>
      <w:marTop w:val="0"/>
      <w:marBottom w:val="0"/>
      <w:divBdr>
        <w:top w:val="none" w:sz="0" w:space="0" w:color="auto"/>
        <w:left w:val="none" w:sz="0" w:space="0" w:color="auto"/>
        <w:bottom w:val="none" w:sz="0" w:space="0" w:color="auto"/>
        <w:right w:val="none" w:sz="0" w:space="0" w:color="auto"/>
      </w:divBdr>
    </w:div>
    <w:div w:id="1799377059">
      <w:bodyDiv w:val="1"/>
      <w:marLeft w:val="0"/>
      <w:marRight w:val="0"/>
      <w:marTop w:val="0"/>
      <w:marBottom w:val="0"/>
      <w:divBdr>
        <w:top w:val="none" w:sz="0" w:space="0" w:color="auto"/>
        <w:left w:val="none" w:sz="0" w:space="0" w:color="auto"/>
        <w:bottom w:val="none" w:sz="0" w:space="0" w:color="auto"/>
        <w:right w:val="none" w:sz="0" w:space="0" w:color="auto"/>
      </w:divBdr>
    </w:div>
    <w:div w:id="1876848890">
      <w:bodyDiv w:val="1"/>
      <w:marLeft w:val="0"/>
      <w:marRight w:val="0"/>
      <w:marTop w:val="0"/>
      <w:marBottom w:val="0"/>
      <w:divBdr>
        <w:top w:val="none" w:sz="0" w:space="0" w:color="auto"/>
        <w:left w:val="none" w:sz="0" w:space="0" w:color="auto"/>
        <w:bottom w:val="none" w:sz="0" w:space="0" w:color="auto"/>
        <w:right w:val="none" w:sz="0" w:space="0" w:color="auto"/>
      </w:divBdr>
    </w:div>
    <w:div w:id="1900048336">
      <w:bodyDiv w:val="1"/>
      <w:marLeft w:val="0"/>
      <w:marRight w:val="0"/>
      <w:marTop w:val="0"/>
      <w:marBottom w:val="0"/>
      <w:divBdr>
        <w:top w:val="none" w:sz="0" w:space="0" w:color="auto"/>
        <w:left w:val="none" w:sz="0" w:space="0" w:color="auto"/>
        <w:bottom w:val="none" w:sz="0" w:space="0" w:color="auto"/>
        <w:right w:val="none" w:sz="0" w:space="0" w:color="auto"/>
      </w:divBdr>
    </w:div>
    <w:div w:id="1908109504">
      <w:bodyDiv w:val="1"/>
      <w:marLeft w:val="0"/>
      <w:marRight w:val="0"/>
      <w:marTop w:val="0"/>
      <w:marBottom w:val="0"/>
      <w:divBdr>
        <w:top w:val="none" w:sz="0" w:space="0" w:color="auto"/>
        <w:left w:val="none" w:sz="0" w:space="0" w:color="auto"/>
        <w:bottom w:val="none" w:sz="0" w:space="0" w:color="auto"/>
        <w:right w:val="none" w:sz="0" w:space="0" w:color="auto"/>
      </w:divBdr>
    </w:div>
    <w:div w:id="1948779387">
      <w:bodyDiv w:val="1"/>
      <w:marLeft w:val="0"/>
      <w:marRight w:val="0"/>
      <w:marTop w:val="0"/>
      <w:marBottom w:val="0"/>
      <w:divBdr>
        <w:top w:val="none" w:sz="0" w:space="0" w:color="auto"/>
        <w:left w:val="none" w:sz="0" w:space="0" w:color="auto"/>
        <w:bottom w:val="none" w:sz="0" w:space="0" w:color="auto"/>
        <w:right w:val="none" w:sz="0" w:space="0" w:color="auto"/>
      </w:divBdr>
    </w:div>
    <w:div w:id="20371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worldwewant2015.org/node/277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4042-CF28-435B-B274-5AD7030F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Stacey Cram</cp:lastModifiedBy>
  <cp:revision>6</cp:revision>
  <cp:lastPrinted>2013-06-11T22:53:00Z</cp:lastPrinted>
  <dcterms:created xsi:type="dcterms:W3CDTF">2015-08-17T17:48:00Z</dcterms:created>
  <dcterms:modified xsi:type="dcterms:W3CDTF">2015-08-17T18:05:00Z</dcterms:modified>
</cp:coreProperties>
</file>